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171"/>
        <w:tblW w:w="9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9"/>
        <w:gridCol w:w="1288"/>
        <w:gridCol w:w="4074"/>
      </w:tblGrid>
      <w:tr w:rsidR="000858BE" w:rsidRPr="000858BE" w14:paraId="23F058AB" w14:textId="77777777" w:rsidTr="00F25D3A">
        <w:trPr>
          <w:cantSplit/>
          <w:trHeight w:hRule="exact" w:val="1143"/>
        </w:trPr>
        <w:tc>
          <w:tcPr>
            <w:tcW w:w="4059" w:type="dxa"/>
            <w:vAlign w:val="center"/>
          </w:tcPr>
          <w:p w14:paraId="484AB167" w14:textId="77777777" w:rsidR="000858BE" w:rsidRPr="000858BE" w:rsidRDefault="000858BE" w:rsidP="00F25D3A">
            <w:pPr>
              <w:spacing w:after="0" w:line="240" w:lineRule="auto"/>
              <w:ind w:left="-142" w:right="18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58BE">
              <w:rPr>
                <w:rFonts w:eastAsia="Times New Roman"/>
                <w:sz w:val="24"/>
                <w:szCs w:val="24"/>
                <w:lang w:eastAsia="ru-RU"/>
              </w:rPr>
              <w:t>ГОСУДАРСТВЕННЫЙ СОВЕТ</w:t>
            </w:r>
          </w:p>
          <w:p w14:paraId="7484A1DE" w14:textId="77777777" w:rsidR="000858BE" w:rsidRPr="000858BE" w:rsidRDefault="000858BE" w:rsidP="00F25D3A">
            <w:pPr>
              <w:spacing w:after="0" w:line="240" w:lineRule="auto"/>
              <w:ind w:left="-142" w:right="18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58BE">
              <w:rPr>
                <w:rFonts w:eastAsia="Times New Roman"/>
                <w:sz w:val="24"/>
                <w:szCs w:val="24"/>
                <w:lang w:eastAsia="ru-RU"/>
              </w:rPr>
              <w:t>УДМУРТСКОЙ РЕСПУБЛИКИ</w:t>
            </w:r>
          </w:p>
        </w:tc>
        <w:tc>
          <w:tcPr>
            <w:tcW w:w="1288" w:type="dxa"/>
          </w:tcPr>
          <w:p w14:paraId="1F42BF9B" w14:textId="77777777" w:rsidR="000858BE" w:rsidRPr="000858BE" w:rsidRDefault="000858BE" w:rsidP="00F25D3A">
            <w:pPr>
              <w:tabs>
                <w:tab w:val="left" w:pos="0"/>
              </w:tabs>
              <w:spacing w:after="0" w:line="240" w:lineRule="auto"/>
              <w:ind w:left="-413" w:firstLine="413"/>
              <w:jc w:val="center"/>
              <w:rPr>
                <w:rFonts w:eastAsia="Times New Roman"/>
                <w:szCs w:val="24"/>
                <w:lang w:eastAsia="ru-RU"/>
              </w:rPr>
            </w:pPr>
            <w:r w:rsidRPr="000858BE">
              <w:rPr>
                <w:rFonts w:eastAsia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34C60F0" wp14:editId="442FA5F0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-805180</wp:posOffset>
                  </wp:positionV>
                  <wp:extent cx="716915" cy="735330"/>
                  <wp:effectExtent l="0" t="0" r="6985" b="7620"/>
                  <wp:wrapTight wrapText="bothSides">
                    <wp:wrapPolygon edited="0">
                      <wp:start x="0" y="0"/>
                      <wp:lineTo x="0" y="21264"/>
                      <wp:lineTo x="21236" y="21264"/>
                      <wp:lineTo x="21236" y="0"/>
                      <wp:lineTo x="0" y="0"/>
                    </wp:wrapPolygon>
                  </wp:wrapTight>
                  <wp:docPr id="1" name="Рисунок 1" descr="Gerb_udmu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udmu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735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vAlign w:val="center"/>
          </w:tcPr>
          <w:p w14:paraId="5EBD5DD2" w14:textId="77777777" w:rsidR="000858BE" w:rsidRPr="000858BE" w:rsidRDefault="000858BE" w:rsidP="00F25D3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58BE">
              <w:rPr>
                <w:rFonts w:eastAsia="Times New Roman"/>
                <w:sz w:val="24"/>
                <w:szCs w:val="24"/>
                <w:lang w:eastAsia="ru-RU"/>
              </w:rPr>
              <w:t>УДМУРТ ЭЛЬКУНЫСЬ</w:t>
            </w:r>
          </w:p>
          <w:p w14:paraId="21C52A31" w14:textId="77777777" w:rsidR="000858BE" w:rsidRPr="000858BE" w:rsidRDefault="000858BE" w:rsidP="00F25D3A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0858BE">
              <w:rPr>
                <w:rFonts w:eastAsia="Times New Roman"/>
                <w:sz w:val="24"/>
                <w:szCs w:val="24"/>
                <w:lang w:eastAsia="ru-RU"/>
              </w:rPr>
              <w:t>КУН КЕНЕШ</w:t>
            </w:r>
          </w:p>
        </w:tc>
      </w:tr>
      <w:tr w:rsidR="000858BE" w:rsidRPr="000858BE" w14:paraId="3736B759" w14:textId="77777777" w:rsidTr="00F25D3A">
        <w:trPr>
          <w:trHeight w:hRule="exact" w:val="1260"/>
        </w:trPr>
        <w:tc>
          <w:tcPr>
            <w:tcW w:w="4059" w:type="dxa"/>
            <w:tcBorders>
              <w:bottom w:val="single" w:sz="4" w:space="0" w:color="auto"/>
            </w:tcBorders>
            <w:vAlign w:val="center"/>
          </w:tcPr>
          <w:p w14:paraId="56865ACE" w14:textId="77777777" w:rsidR="000858BE" w:rsidRPr="000858BE" w:rsidRDefault="000858BE" w:rsidP="00F25D3A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0858BE">
              <w:rPr>
                <w:rFonts w:eastAsia="Times New Roman"/>
                <w:b/>
                <w:sz w:val="26"/>
                <w:szCs w:val="26"/>
                <w:lang w:eastAsia="ru-RU"/>
              </w:rPr>
              <w:t>ПОСТОЯННАЯ КОМИССИЯ</w:t>
            </w:r>
          </w:p>
          <w:p w14:paraId="7B5683FF" w14:textId="77777777" w:rsidR="000858BE" w:rsidRPr="000858BE" w:rsidRDefault="000858BE" w:rsidP="00F25D3A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858BE">
              <w:rPr>
                <w:rFonts w:eastAsia="Times New Roman"/>
                <w:sz w:val="26"/>
                <w:szCs w:val="26"/>
                <w:lang w:eastAsia="ru-RU"/>
              </w:rPr>
              <w:t>по бюджету, налогам</w:t>
            </w:r>
          </w:p>
          <w:p w14:paraId="4112D4CF" w14:textId="77777777" w:rsidR="000858BE" w:rsidRPr="000858BE" w:rsidRDefault="000858BE" w:rsidP="00F25D3A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0858BE">
              <w:rPr>
                <w:rFonts w:eastAsia="Times New Roman"/>
                <w:sz w:val="26"/>
                <w:szCs w:val="26"/>
                <w:lang w:eastAsia="ru-RU"/>
              </w:rPr>
              <w:t>и финансам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14:paraId="0A7AD6C1" w14:textId="77777777" w:rsidR="000858BE" w:rsidRPr="000858BE" w:rsidRDefault="000858BE" w:rsidP="00F25D3A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074" w:type="dxa"/>
            <w:tcBorders>
              <w:bottom w:val="single" w:sz="4" w:space="0" w:color="auto"/>
            </w:tcBorders>
            <w:vAlign w:val="center"/>
          </w:tcPr>
          <w:p w14:paraId="258D5D84" w14:textId="77777777" w:rsidR="000858BE" w:rsidRPr="008451EE" w:rsidRDefault="000858BE" w:rsidP="00F25D3A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451EE">
              <w:rPr>
                <w:rFonts w:eastAsia="Times New Roman"/>
                <w:sz w:val="26"/>
                <w:szCs w:val="26"/>
                <w:lang w:eastAsia="ru-RU"/>
              </w:rPr>
              <w:t xml:space="preserve">Бюджетъя, вытъёсъя но </w:t>
            </w:r>
          </w:p>
          <w:p w14:paraId="3B495BA8" w14:textId="77777777" w:rsidR="000858BE" w:rsidRPr="008451EE" w:rsidRDefault="000858BE" w:rsidP="00F25D3A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451EE">
              <w:rPr>
                <w:rFonts w:eastAsia="Times New Roman"/>
                <w:sz w:val="26"/>
                <w:szCs w:val="26"/>
                <w:lang w:eastAsia="ru-RU"/>
              </w:rPr>
              <w:t>коньдон ужпумъёсъя</w:t>
            </w:r>
          </w:p>
          <w:p w14:paraId="084E198C" w14:textId="77777777" w:rsidR="000858BE" w:rsidRPr="000858BE" w:rsidRDefault="000858BE" w:rsidP="00F25D3A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8451EE">
              <w:rPr>
                <w:rFonts w:eastAsia="Times New Roman"/>
                <w:b/>
                <w:sz w:val="26"/>
                <w:szCs w:val="26"/>
                <w:lang w:eastAsia="ru-RU"/>
              </w:rPr>
              <w:t>ЯЛАН УЖАСЬ ӦРИ</w:t>
            </w:r>
          </w:p>
        </w:tc>
      </w:tr>
      <w:tr w:rsidR="000858BE" w:rsidRPr="000858BE" w14:paraId="0D0C2298" w14:textId="77777777" w:rsidTr="00F25D3A">
        <w:tc>
          <w:tcPr>
            <w:tcW w:w="4059" w:type="dxa"/>
            <w:tcBorders>
              <w:top w:val="single" w:sz="4" w:space="0" w:color="auto"/>
            </w:tcBorders>
            <w:vAlign w:val="center"/>
          </w:tcPr>
          <w:p w14:paraId="4FA4A89D" w14:textId="77777777" w:rsidR="00E005E7" w:rsidRDefault="00E005E7" w:rsidP="00F25D3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14:paraId="4924A09B" w14:textId="777C4D59" w:rsidR="000858BE" w:rsidRPr="000858BE" w:rsidRDefault="0086631F" w:rsidP="00F25D3A">
            <w:pPr>
              <w:spacing w:after="0" w:line="240" w:lineRule="auto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lang w:eastAsia="ru-RU"/>
              </w:rPr>
              <w:t>________________</w:t>
            </w:r>
            <w:r w:rsidR="00E4429E">
              <w:rPr>
                <w:rFonts w:eastAsia="Times New Roman"/>
                <w:lang w:eastAsia="ru-RU"/>
              </w:rPr>
              <w:t xml:space="preserve"> 20</w:t>
            </w:r>
            <w:r>
              <w:rPr>
                <w:rFonts w:eastAsia="Times New Roman"/>
                <w:lang w:eastAsia="ru-RU"/>
              </w:rPr>
              <w:t>2</w:t>
            </w:r>
            <w:r w:rsidR="006F1CF5">
              <w:rPr>
                <w:rFonts w:eastAsia="Times New Roman"/>
                <w:lang w:eastAsia="ru-RU"/>
              </w:rPr>
              <w:t>3</w:t>
            </w:r>
            <w:r w:rsidR="000858BE" w:rsidRPr="000858BE">
              <w:rPr>
                <w:rFonts w:eastAsia="Times New Roman"/>
                <w:lang w:eastAsia="ru-RU"/>
              </w:rPr>
              <w:t xml:space="preserve"> г.</w:t>
            </w:r>
          </w:p>
        </w:tc>
        <w:tc>
          <w:tcPr>
            <w:tcW w:w="1288" w:type="dxa"/>
            <w:tcBorders>
              <w:top w:val="single" w:sz="4" w:space="0" w:color="auto"/>
            </w:tcBorders>
            <w:vAlign w:val="center"/>
          </w:tcPr>
          <w:p w14:paraId="4110D8F9" w14:textId="77777777" w:rsidR="000858BE" w:rsidRDefault="000858BE" w:rsidP="00F25D3A">
            <w:pPr>
              <w:spacing w:after="0" w:line="240" w:lineRule="auto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  <w:p w14:paraId="1A2B4736" w14:textId="77777777" w:rsidR="0066463E" w:rsidRDefault="0066463E" w:rsidP="00F25D3A">
            <w:pPr>
              <w:spacing w:after="0" w:line="240" w:lineRule="auto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  <w:p w14:paraId="1D323AE5" w14:textId="3E60946F" w:rsidR="0066463E" w:rsidRPr="000858BE" w:rsidRDefault="0066463E" w:rsidP="00F25D3A">
            <w:pPr>
              <w:spacing w:after="0" w:line="240" w:lineRule="auto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074" w:type="dxa"/>
            <w:tcBorders>
              <w:top w:val="single" w:sz="4" w:space="0" w:color="auto"/>
            </w:tcBorders>
            <w:vAlign w:val="center"/>
          </w:tcPr>
          <w:p w14:paraId="2B0A1BD7" w14:textId="77777777" w:rsidR="000858BE" w:rsidRPr="000858BE" w:rsidRDefault="000858BE" w:rsidP="00F25D3A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</w:p>
          <w:p w14:paraId="3DDAC6DF" w14:textId="77777777" w:rsidR="000858BE" w:rsidRPr="000858BE" w:rsidRDefault="000858BE" w:rsidP="00F25D3A">
            <w:pPr>
              <w:spacing w:after="0" w:line="240" w:lineRule="auto"/>
              <w:jc w:val="right"/>
              <w:rPr>
                <w:rFonts w:ascii="Times New Roman Udm" w:eastAsia="Times New Roman" w:hAnsi="Times New Roman Udm" w:cs="Times New Roman Udm"/>
                <w:lang w:eastAsia="ru-RU"/>
              </w:rPr>
            </w:pPr>
            <w:r w:rsidRPr="000858BE">
              <w:rPr>
                <w:rFonts w:eastAsia="Times New Roman"/>
                <w:lang w:eastAsia="ru-RU"/>
              </w:rPr>
              <w:t>№ ___________</w:t>
            </w:r>
          </w:p>
        </w:tc>
      </w:tr>
      <w:tr w:rsidR="000858BE" w:rsidRPr="000858BE" w14:paraId="4EE9A9C3" w14:textId="77777777" w:rsidTr="00F25D3A">
        <w:tc>
          <w:tcPr>
            <w:tcW w:w="9421" w:type="dxa"/>
            <w:gridSpan w:val="3"/>
            <w:vAlign w:val="center"/>
          </w:tcPr>
          <w:p w14:paraId="2597E2EF" w14:textId="77777777" w:rsidR="000858BE" w:rsidRPr="000858BE" w:rsidRDefault="000858BE" w:rsidP="00F25D3A">
            <w:pPr>
              <w:spacing w:after="0" w:line="240" w:lineRule="auto"/>
              <w:jc w:val="center"/>
              <w:rPr>
                <w:rFonts w:ascii="Times New Roman Udm" w:eastAsia="Times New Roman" w:hAnsi="Times New Roman Udm" w:cs="Times New Roman Udm"/>
                <w:lang w:eastAsia="ru-RU"/>
              </w:rPr>
            </w:pPr>
            <w:r w:rsidRPr="000858BE">
              <w:rPr>
                <w:rFonts w:eastAsia="Times New Roman"/>
                <w:sz w:val="24"/>
                <w:szCs w:val="24"/>
                <w:lang w:eastAsia="ru-RU"/>
              </w:rPr>
              <w:t>г. Ижевск</w:t>
            </w:r>
          </w:p>
        </w:tc>
      </w:tr>
      <w:tr w:rsidR="000858BE" w:rsidRPr="000858BE" w14:paraId="49A8F99A" w14:textId="77777777" w:rsidTr="00F25D3A">
        <w:tc>
          <w:tcPr>
            <w:tcW w:w="9421" w:type="dxa"/>
            <w:gridSpan w:val="3"/>
            <w:vAlign w:val="center"/>
          </w:tcPr>
          <w:p w14:paraId="75228DDB" w14:textId="77777777" w:rsidR="000858BE" w:rsidRPr="000858BE" w:rsidRDefault="000858BE" w:rsidP="00F25D3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14:paraId="727C6A46" w14:textId="77777777" w:rsidR="00E47972" w:rsidRDefault="00E47972" w:rsidP="002A1B64">
      <w:pPr>
        <w:spacing w:after="0" w:line="240" w:lineRule="auto"/>
        <w:jc w:val="center"/>
      </w:pPr>
    </w:p>
    <w:p w14:paraId="2A05FDC3" w14:textId="77777777" w:rsidR="00337955" w:rsidRDefault="00337955" w:rsidP="00337955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7955BC">
        <w:rPr>
          <w:rFonts w:eastAsia="Times New Roman"/>
          <w:b/>
          <w:bCs/>
          <w:lang w:eastAsia="ru-RU"/>
        </w:rPr>
        <w:t>ЗАКЛЮЧЕНИЕ</w:t>
      </w:r>
    </w:p>
    <w:p w14:paraId="42E4DEE8" w14:textId="2C9280E1" w:rsidR="00353543" w:rsidRDefault="00D338FE" w:rsidP="0058036A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7955BC">
        <w:rPr>
          <w:rFonts w:eastAsia="Times New Roman"/>
          <w:b/>
          <w:bCs/>
          <w:lang w:eastAsia="ru-RU"/>
        </w:rPr>
        <w:t>на прое</w:t>
      </w:r>
      <w:r w:rsidR="003F4F5C">
        <w:rPr>
          <w:rFonts w:eastAsia="Times New Roman"/>
          <w:b/>
          <w:bCs/>
          <w:lang w:eastAsia="ru-RU"/>
        </w:rPr>
        <w:t>кт закона Удмуртской Республики</w:t>
      </w:r>
      <w:r w:rsidR="00353543">
        <w:rPr>
          <w:rFonts w:eastAsia="Times New Roman"/>
          <w:b/>
          <w:bCs/>
          <w:lang w:eastAsia="ru-RU"/>
        </w:rPr>
        <w:t xml:space="preserve"> №</w:t>
      </w:r>
      <w:r w:rsidR="003F4F5C">
        <w:rPr>
          <w:rFonts w:eastAsia="Times New Roman"/>
          <w:b/>
          <w:bCs/>
          <w:lang w:eastAsia="ru-RU"/>
        </w:rPr>
        <w:t xml:space="preserve"> </w:t>
      </w:r>
      <w:r w:rsidR="006F1CF5">
        <w:rPr>
          <w:rFonts w:eastAsia="Times New Roman"/>
          <w:b/>
          <w:bCs/>
          <w:lang w:eastAsia="ru-RU"/>
        </w:rPr>
        <w:t>2492</w:t>
      </w:r>
      <w:r w:rsidR="00353543">
        <w:rPr>
          <w:rFonts w:eastAsia="Times New Roman"/>
          <w:b/>
          <w:bCs/>
          <w:lang w:eastAsia="ru-RU"/>
        </w:rPr>
        <w:t>-</w:t>
      </w:r>
      <w:r w:rsidR="003B46A2">
        <w:rPr>
          <w:rFonts w:eastAsia="Times New Roman"/>
          <w:b/>
          <w:bCs/>
          <w:lang w:eastAsia="ru-RU"/>
        </w:rPr>
        <w:t>7</w:t>
      </w:r>
      <w:r w:rsidR="00353543">
        <w:rPr>
          <w:rFonts w:eastAsia="Times New Roman"/>
          <w:b/>
          <w:bCs/>
          <w:lang w:eastAsia="ru-RU"/>
        </w:rPr>
        <w:t xml:space="preserve">зп </w:t>
      </w:r>
      <w:r w:rsidRPr="007955BC">
        <w:rPr>
          <w:rFonts w:eastAsia="Times New Roman"/>
          <w:b/>
          <w:bCs/>
          <w:lang w:eastAsia="ru-RU"/>
        </w:rPr>
        <w:t>«О внесении изменений в Закон Удмуртской Республики «О бюджете Территориального фонда обязательного медицинского страхования Удмуртской Республики на 20</w:t>
      </w:r>
      <w:r w:rsidR="00B40BFD">
        <w:rPr>
          <w:rFonts w:eastAsia="Times New Roman"/>
          <w:b/>
          <w:bCs/>
          <w:lang w:eastAsia="ru-RU"/>
        </w:rPr>
        <w:t>2</w:t>
      </w:r>
      <w:r w:rsidR="006F1CF5">
        <w:rPr>
          <w:rFonts w:eastAsia="Times New Roman"/>
          <w:b/>
          <w:bCs/>
          <w:lang w:eastAsia="ru-RU"/>
        </w:rPr>
        <w:t>3</w:t>
      </w:r>
      <w:r w:rsidRPr="007955BC">
        <w:rPr>
          <w:rFonts w:eastAsia="Times New Roman"/>
          <w:b/>
          <w:bCs/>
          <w:lang w:eastAsia="ru-RU"/>
        </w:rPr>
        <w:t xml:space="preserve"> год</w:t>
      </w:r>
      <w:r w:rsidR="00682549" w:rsidRPr="007955BC">
        <w:rPr>
          <w:rFonts w:eastAsia="Times New Roman"/>
          <w:b/>
          <w:bCs/>
          <w:lang w:eastAsia="ru-RU"/>
        </w:rPr>
        <w:t xml:space="preserve"> и на плановый </w:t>
      </w:r>
    </w:p>
    <w:p w14:paraId="6148458B" w14:textId="1265C482" w:rsidR="00682549" w:rsidRPr="007955BC" w:rsidRDefault="00682549" w:rsidP="0058036A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7955BC">
        <w:rPr>
          <w:rFonts w:eastAsia="Times New Roman"/>
          <w:b/>
          <w:bCs/>
          <w:lang w:eastAsia="ru-RU"/>
        </w:rPr>
        <w:t>период 20</w:t>
      </w:r>
      <w:r w:rsidR="00040CFC" w:rsidRPr="00040CFC">
        <w:rPr>
          <w:rFonts w:eastAsia="Times New Roman"/>
          <w:b/>
          <w:bCs/>
          <w:lang w:eastAsia="ru-RU"/>
        </w:rPr>
        <w:t>2</w:t>
      </w:r>
      <w:r w:rsidR="006F1CF5">
        <w:rPr>
          <w:rFonts w:eastAsia="Times New Roman"/>
          <w:b/>
          <w:bCs/>
          <w:lang w:eastAsia="ru-RU"/>
        </w:rPr>
        <w:t>4</w:t>
      </w:r>
      <w:r w:rsidRPr="007955BC">
        <w:rPr>
          <w:rFonts w:eastAsia="Times New Roman"/>
          <w:b/>
          <w:bCs/>
          <w:lang w:eastAsia="ru-RU"/>
        </w:rPr>
        <w:t xml:space="preserve"> и 20</w:t>
      </w:r>
      <w:r w:rsidR="00DB5526">
        <w:rPr>
          <w:rFonts w:eastAsia="Times New Roman"/>
          <w:b/>
          <w:bCs/>
          <w:lang w:eastAsia="ru-RU"/>
        </w:rPr>
        <w:t>2</w:t>
      </w:r>
      <w:r w:rsidR="006F1CF5">
        <w:rPr>
          <w:rFonts w:eastAsia="Times New Roman"/>
          <w:b/>
          <w:bCs/>
          <w:lang w:eastAsia="ru-RU"/>
        </w:rPr>
        <w:t>5</w:t>
      </w:r>
      <w:r w:rsidRPr="007955BC">
        <w:rPr>
          <w:rFonts w:eastAsia="Times New Roman"/>
          <w:b/>
          <w:bCs/>
          <w:lang w:eastAsia="ru-RU"/>
        </w:rPr>
        <w:t xml:space="preserve"> годов</w:t>
      </w:r>
      <w:r w:rsidR="00D338FE" w:rsidRPr="007955BC">
        <w:rPr>
          <w:rFonts w:eastAsia="Times New Roman"/>
          <w:b/>
          <w:bCs/>
          <w:lang w:eastAsia="ru-RU"/>
        </w:rPr>
        <w:t>»</w:t>
      </w:r>
    </w:p>
    <w:p w14:paraId="2CA0C87A" w14:textId="77777777" w:rsidR="00F930B2" w:rsidRDefault="00F930B2" w:rsidP="0058036A">
      <w:pPr>
        <w:spacing w:after="0" w:line="240" w:lineRule="auto"/>
        <w:ind w:firstLine="709"/>
        <w:jc w:val="both"/>
      </w:pPr>
    </w:p>
    <w:p w14:paraId="2F37C823" w14:textId="77777777" w:rsidR="0058036A" w:rsidRPr="007955BC" w:rsidRDefault="0058036A" w:rsidP="0058036A">
      <w:pPr>
        <w:spacing w:after="0" w:line="240" w:lineRule="auto"/>
        <w:ind w:firstLine="709"/>
        <w:jc w:val="both"/>
      </w:pPr>
    </w:p>
    <w:p w14:paraId="0A05BC10" w14:textId="0988D3D3" w:rsidR="00D90B79" w:rsidRPr="007955BC" w:rsidRDefault="00F930B2" w:rsidP="003B46A2">
      <w:pPr>
        <w:spacing w:after="0" w:line="288" w:lineRule="auto"/>
        <w:ind w:firstLine="709"/>
        <w:jc w:val="both"/>
      </w:pPr>
      <w:r w:rsidRPr="007955BC">
        <w:t>Постоянная комиссия Государственного Совета Удмуртской Республики по бюджету, налогам и финансам</w:t>
      </w:r>
      <w:r w:rsidR="001E7DA8" w:rsidRPr="007955BC">
        <w:t>,</w:t>
      </w:r>
      <w:r w:rsidRPr="007955BC">
        <w:t xml:space="preserve"> рассмотрев </w:t>
      </w:r>
      <w:r w:rsidR="00337955" w:rsidRPr="007955BC">
        <w:t xml:space="preserve">проект закона Удмуртской Республики </w:t>
      </w:r>
      <w:r w:rsidR="00353543">
        <w:t xml:space="preserve">№ </w:t>
      </w:r>
      <w:r w:rsidR="006F1CF5">
        <w:t>2492</w:t>
      </w:r>
      <w:r w:rsidR="003B46A2" w:rsidRPr="003B46A2">
        <w:t>-7зп</w:t>
      </w:r>
      <w:r w:rsidR="00B40BFD">
        <w:t xml:space="preserve"> «</w:t>
      </w:r>
      <w:r w:rsidR="003B46A2">
        <w:t>О внесении изменений в Закон Удмуртской Республики «О бюджете Территориального фонда обязательного медицинского страхования Удмуртской Республики на 202</w:t>
      </w:r>
      <w:r w:rsidR="006F1CF5">
        <w:t>3</w:t>
      </w:r>
      <w:r w:rsidR="003B46A2">
        <w:t xml:space="preserve"> год и на плановый период 202</w:t>
      </w:r>
      <w:r w:rsidR="006F1CF5">
        <w:t>4</w:t>
      </w:r>
      <w:r w:rsidR="003B46A2">
        <w:t xml:space="preserve"> и 202</w:t>
      </w:r>
      <w:r w:rsidR="006F1CF5">
        <w:t>5</w:t>
      </w:r>
      <w:r w:rsidR="003B46A2">
        <w:t xml:space="preserve"> годов</w:t>
      </w:r>
      <w:r w:rsidR="00B40BFD">
        <w:t>»</w:t>
      </w:r>
      <w:r w:rsidR="00D338FE" w:rsidRPr="007955BC">
        <w:t xml:space="preserve"> </w:t>
      </w:r>
      <w:r w:rsidR="005E65C6" w:rsidRPr="007955BC">
        <w:t>(далее – Проект</w:t>
      </w:r>
      <w:r w:rsidR="001C5830" w:rsidRPr="007955BC">
        <w:t xml:space="preserve"> закона</w:t>
      </w:r>
      <w:r w:rsidR="005E65C6" w:rsidRPr="007955BC">
        <w:t>)</w:t>
      </w:r>
      <w:r w:rsidRPr="007955BC">
        <w:t>, отмечает следующее.</w:t>
      </w:r>
    </w:p>
    <w:p w14:paraId="0AF2C0EE" w14:textId="6D7ACE2D" w:rsidR="00C62EB5" w:rsidRPr="00C62EB5" w:rsidRDefault="00665850" w:rsidP="00C62EB5">
      <w:pPr>
        <w:spacing w:after="0" w:line="288" w:lineRule="auto"/>
        <w:ind w:firstLine="709"/>
        <w:jc w:val="both"/>
      </w:pPr>
      <w:r>
        <w:t xml:space="preserve">Изменения </w:t>
      </w:r>
      <w:r w:rsidR="00F25D3A">
        <w:t xml:space="preserve">вносятся </w:t>
      </w:r>
      <w:r w:rsidR="00F25D3A" w:rsidRPr="00C62EB5">
        <w:t>в доходную част</w:t>
      </w:r>
      <w:r w:rsidR="00F25D3A">
        <w:t>ь</w:t>
      </w:r>
      <w:r w:rsidR="00F25D3A" w:rsidRPr="00C62EB5">
        <w:t xml:space="preserve"> бюджета </w:t>
      </w:r>
      <w:r w:rsidR="00C4111F">
        <w:t>Территориального фонда обязательного медицинского страхования Удмуртской Республики (далее – Фонд)</w:t>
      </w:r>
      <w:r w:rsidR="006B1D33">
        <w:t xml:space="preserve"> на 202</w:t>
      </w:r>
      <w:r w:rsidR="006F1CF5">
        <w:t>3</w:t>
      </w:r>
      <w:r w:rsidR="006B1D33">
        <w:t xml:space="preserve"> год</w:t>
      </w:r>
      <w:r w:rsidR="00F25D3A" w:rsidRPr="00C62EB5">
        <w:t xml:space="preserve"> </w:t>
      </w:r>
      <w:r w:rsidR="00F25D3A" w:rsidRPr="00F25D3A">
        <w:t xml:space="preserve">в связи с </w:t>
      </w:r>
      <w:r w:rsidR="00F25D3A">
        <w:t xml:space="preserve">поступлением </w:t>
      </w:r>
      <w:r w:rsidR="00F25D3A" w:rsidRPr="00F25D3A">
        <w:t xml:space="preserve">дополнительных межбюджетных трансфертов из бюджета Федерального фонда </w:t>
      </w:r>
      <w:r w:rsidR="00F25D3A">
        <w:t>обязательного медицинского страхования</w:t>
      </w:r>
      <w:r w:rsidR="006F1CF5">
        <w:t xml:space="preserve"> и произведенных возвратов неиспользованных остатков межбюджетных трансфертов прошлых лет, имеющих целевое назначение,</w:t>
      </w:r>
      <w:r w:rsidR="00F25D3A" w:rsidRPr="00F25D3A">
        <w:t xml:space="preserve"> и увеличения расходной части бюджета за счет направления дополнительных доходов</w:t>
      </w:r>
      <w:r w:rsidR="006F1CF5">
        <w:t xml:space="preserve"> и остатков </w:t>
      </w:r>
      <w:r w:rsidR="0040445A">
        <w:t>средств</w:t>
      </w:r>
      <w:r w:rsidR="00F25D3A" w:rsidRPr="00F25D3A">
        <w:t xml:space="preserve"> на соответствующие цели.</w:t>
      </w:r>
      <w:r w:rsidR="00F25D3A">
        <w:t xml:space="preserve"> </w:t>
      </w:r>
    </w:p>
    <w:p w14:paraId="7F59D192" w14:textId="77777777" w:rsidR="0066463E" w:rsidRDefault="0066463E" w:rsidP="00C62EB5">
      <w:pPr>
        <w:spacing w:after="0" w:line="288" w:lineRule="auto"/>
        <w:ind w:firstLine="709"/>
        <w:jc w:val="both"/>
      </w:pPr>
    </w:p>
    <w:p w14:paraId="5DC3ABD2" w14:textId="77777777" w:rsidR="0066463E" w:rsidRDefault="0066463E" w:rsidP="00C62EB5">
      <w:pPr>
        <w:spacing w:after="0" w:line="288" w:lineRule="auto"/>
        <w:ind w:firstLine="709"/>
        <w:jc w:val="both"/>
      </w:pPr>
    </w:p>
    <w:p w14:paraId="3A2BCEA6" w14:textId="77777777" w:rsidR="0066463E" w:rsidRDefault="0066463E" w:rsidP="00C62EB5">
      <w:pPr>
        <w:spacing w:after="0" w:line="288" w:lineRule="auto"/>
        <w:ind w:firstLine="709"/>
        <w:jc w:val="both"/>
      </w:pPr>
    </w:p>
    <w:p w14:paraId="45599E92" w14:textId="77777777" w:rsidR="0066463E" w:rsidRDefault="0066463E" w:rsidP="00C62EB5">
      <w:pPr>
        <w:spacing w:after="0" w:line="288" w:lineRule="auto"/>
        <w:ind w:firstLine="709"/>
        <w:jc w:val="both"/>
      </w:pPr>
    </w:p>
    <w:p w14:paraId="1DE02236" w14:textId="3DA38607" w:rsidR="006C07F2" w:rsidRPr="00C62EB5" w:rsidRDefault="006C07F2" w:rsidP="00C62EB5">
      <w:pPr>
        <w:spacing w:after="0" w:line="288" w:lineRule="auto"/>
        <w:ind w:firstLine="709"/>
        <w:jc w:val="both"/>
      </w:pPr>
      <w:r w:rsidRPr="00C62EB5">
        <w:lastRenderedPageBreak/>
        <w:t>Изменение основных характеристик бюджета Фонда на 20</w:t>
      </w:r>
      <w:r w:rsidR="00F25D3A">
        <w:t>2</w:t>
      </w:r>
      <w:r w:rsidR="006F1CF5">
        <w:t>3</w:t>
      </w:r>
      <w:r w:rsidRPr="00C62EB5">
        <w:t xml:space="preserve"> год приведено в таблице</w:t>
      </w:r>
      <w:r w:rsidR="00F25D3A">
        <w:t>:</w:t>
      </w:r>
    </w:p>
    <w:p w14:paraId="3A8D2A7D" w14:textId="77777777" w:rsidR="006C07F2" w:rsidRPr="00340965" w:rsidRDefault="006C07F2" w:rsidP="006C07F2">
      <w:pPr>
        <w:pStyle w:val="a9"/>
        <w:tabs>
          <w:tab w:val="left" w:pos="720"/>
          <w:tab w:val="left" w:pos="9360"/>
        </w:tabs>
        <w:spacing w:after="0" w:line="288" w:lineRule="auto"/>
        <w:ind w:left="0"/>
        <w:jc w:val="right"/>
        <w:rPr>
          <w:rFonts w:eastAsia="Calibri"/>
        </w:rPr>
      </w:pPr>
      <w:r w:rsidRPr="00340965">
        <w:rPr>
          <w:rFonts w:eastAsia="Calibri"/>
        </w:rPr>
        <w:t>тыс. руб.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656"/>
        <w:gridCol w:w="2883"/>
        <w:gridCol w:w="1843"/>
        <w:gridCol w:w="1275"/>
        <w:gridCol w:w="1701"/>
        <w:gridCol w:w="993"/>
      </w:tblGrid>
      <w:tr w:rsidR="006C5256" w:rsidRPr="00F264E9" w14:paraId="4EAB05BA" w14:textId="77777777" w:rsidTr="0066463E">
        <w:trPr>
          <w:trHeight w:val="109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CFAD1" w14:textId="77777777" w:rsidR="006C5256" w:rsidRPr="00F264E9" w:rsidRDefault="006C5256" w:rsidP="00F264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264E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23AE" w14:textId="77777777" w:rsidR="006C5256" w:rsidRPr="00F264E9" w:rsidRDefault="006C5256" w:rsidP="00F264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264E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0DA9D" w14:textId="77777777" w:rsidR="006C5256" w:rsidRDefault="006C5256" w:rsidP="00F264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264E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План на </w:t>
            </w:r>
          </w:p>
          <w:p w14:paraId="1CB582D5" w14:textId="2ED6DC1F" w:rsidR="006C5256" w:rsidRDefault="006C5256" w:rsidP="00F264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264E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F264E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год </w:t>
            </w:r>
          </w:p>
          <w:p w14:paraId="61F89882" w14:textId="5356C9C1" w:rsidR="006C5256" w:rsidRPr="00F264E9" w:rsidRDefault="006C5256" w:rsidP="00F264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264E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(по закону от 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27</w:t>
            </w:r>
            <w:r w:rsidRPr="00F264E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.12.202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F264E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 xml:space="preserve">№ 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90</w:t>
            </w:r>
            <w:r w:rsidRPr="00F264E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-РЗ)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40EC" w14:textId="3E140A15" w:rsidR="006C5256" w:rsidRPr="00DF1BC3" w:rsidRDefault="006C5256" w:rsidP="00F264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F1BC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Вносимые изменения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158A0" w14:textId="08FE972D" w:rsidR="006C5256" w:rsidRPr="00F264E9" w:rsidRDefault="006C5256" w:rsidP="00F264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264E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План на 202</w:t>
            </w:r>
            <w:r w:rsidR="008B658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F264E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год с учётом внесенных изменений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E97C" w14:textId="77777777" w:rsidR="006C5256" w:rsidRPr="00F264E9" w:rsidRDefault="006C5256" w:rsidP="00F264E9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264E9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ru-RU"/>
              </w:rPr>
              <w:t>Темп роста, в %</w:t>
            </w:r>
          </w:p>
        </w:tc>
      </w:tr>
      <w:tr w:rsidR="006C5256" w:rsidRPr="00F264E9" w14:paraId="1B2AB66B" w14:textId="77777777" w:rsidTr="0066463E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739BE" w14:textId="77777777" w:rsidR="006C5256" w:rsidRPr="00F264E9" w:rsidRDefault="006C5256" w:rsidP="00F264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264E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E912" w14:textId="77777777" w:rsidR="006C5256" w:rsidRPr="00F264E9" w:rsidRDefault="006C5256" w:rsidP="00DF1BC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264E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ДОХОДЫ, всего: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101D" w14:textId="51DB138E" w:rsidR="006C5256" w:rsidRPr="00F264E9" w:rsidRDefault="006C5256" w:rsidP="00DF1BC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26 952 442,1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F4794" w14:textId="4C2082E0" w:rsidR="006C5256" w:rsidRPr="006C5256" w:rsidRDefault="006C5256" w:rsidP="00DF1BC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148 982,0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E08B" w14:textId="5F410E0D" w:rsidR="006C5256" w:rsidRPr="00F95CE5" w:rsidRDefault="006C5256" w:rsidP="00DF1BC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val="en-US" w:eastAsia="ru-RU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27 101 424,1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7FDEC" w14:textId="1162A32E" w:rsidR="006C5256" w:rsidRPr="0066463E" w:rsidRDefault="0066463E" w:rsidP="00DF1BC3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6463E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100,6</w:t>
            </w:r>
          </w:p>
        </w:tc>
      </w:tr>
      <w:tr w:rsidR="006C5256" w:rsidRPr="00F264E9" w14:paraId="74561D5A" w14:textId="77777777" w:rsidTr="006C5256">
        <w:trPr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4F6D2" w14:textId="77777777" w:rsidR="006C5256" w:rsidRPr="00DF1BC3" w:rsidRDefault="006C5256" w:rsidP="00F264E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F1BC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DA8DC" w14:textId="77777777" w:rsidR="006C5256" w:rsidRPr="00F95CE5" w:rsidRDefault="006C5256" w:rsidP="00DF1BC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F95CE5">
              <w:rPr>
                <w:rFonts w:eastAsia="Times New Roman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3E035" w14:textId="56587951" w:rsidR="006C5256" w:rsidRPr="00F95CE5" w:rsidRDefault="006C5256" w:rsidP="00DF1BC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70 000,0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41093" w14:textId="727AD23C" w:rsidR="006C5256" w:rsidRPr="00FC0D84" w:rsidRDefault="00FC0D84" w:rsidP="00DF1BC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C0D84">
              <w:rPr>
                <w:rFonts w:eastAsia="Times New Roman"/>
                <w:sz w:val="22"/>
                <w:szCs w:val="22"/>
                <w:lang w:eastAsia="ru-RU"/>
              </w:rPr>
              <w:t>1 109,3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C5DA" w14:textId="735DAC2E" w:rsidR="006C5256" w:rsidRPr="00FC0D84" w:rsidRDefault="00FC0D84" w:rsidP="00DF1BC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C0D84">
              <w:rPr>
                <w:rFonts w:eastAsia="Times New Roman"/>
                <w:sz w:val="22"/>
                <w:szCs w:val="22"/>
                <w:lang w:eastAsia="ru-RU"/>
              </w:rPr>
              <w:t>71 109,3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EE5C9" w14:textId="24C539AB" w:rsidR="006C5256" w:rsidRPr="0066463E" w:rsidRDefault="0066463E" w:rsidP="00DF1BC3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66463E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101,6</w:t>
            </w:r>
          </w:p>
        </w:tc>
      </w:tr>
      <w:tr w:rsidR="006C5256" w:rsidRPr="00F264E9" w14:paraId="4DD47437" w14:textId="77777777" w:rsidTr="006C5256">
        <w:trPr>
          <w:trHeight w:val="3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269E2" w14:textId="77777777" w:rsidR="006C5256" w:rsidRPr="00DF1BC3" w:rsidRDefault="006C5256" w:rsidP="00F264E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F1BC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4F3B8" w14:textId="77777777" w:rsidR="006C5256" w:rsidRPr="00860A5A" w:rsidRDefault="006C5256" w:rsidP="00DF1BC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60A5A">
              <w:rPr>
                <w:rFonts w:eastAsia="Times New Roman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CAEA" w14:textId="40CC60B4" w:rsidR="006C5256" w:rsidRPr="00860A5A" w:rsidRDefault="006C5256" w:rsidP="00DF1BC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26 882 442,1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0E62" w14:textId="5CBF4BBC" w:rsidR="006C5256" w:rsidRPr="00FC0D84" w:rsidRDefault="00FC0D84" w:rsidP="00DF1BC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C0D84">
              <w:rPr>
                <w:rFonts w:eastAsia="Times New Roman"/>
                <w:sz w:val="22"/>
                <w:szCs w:val="22"/>
                <w:lang w:eastAsia="ru-RU"/>
              </w:rPr>
              <w:t>147 872,7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94E0" w14:textId="52668032" w:rsidR="006C5256" w:rsidRPr="00FC0D84" w:rsidRDefault="00FC0D84" w:rsidP="00DF1BC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C0D84">
              <w:rPr>
                <w:rFonts w:eastAsia="Times New Roman"/>
                <w:sz w:val="22"/>
                <w:szCs w:val="22"/>
                <w:lang w:eastAsia="ru-RU"/>
              </w:rPr>
              <w:t>27 030 314,8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D35F6" w14:textId="01473C80" w:rsidR="006C5256" w:rsidRPr="0066463E" w:rsidRDefault="0066463E" w:rsidP="00DF1BC3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66463E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100,6</w:t>
            </w:r>
          </w:p>
        </w:tc>
      </w:tr>
      <w:tr w:rsidR="006C5256" w:rsidRPr="00F264E9" w14:paraId="4C570FC3" w14:textId="77777777" w:rsidTr="006C5256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6C0F7" w14:textId="77777777" w:rsidR="006C5256" w:rsidRPr="00F264E9" w:rsidRDefault="006C5256" w:rsidP="00F264E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264E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8E95" w14:textId="77777777" w:rsidR="006C5256" w:rsidRPr="002D656E" w:rsidRDefault="006C5256" w:rsidP="00DF1BC3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D656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РАСХОДЫ, всего: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BD593" w14:textId="64C6BD3D" w:rsidR="006C5256" w:rsidRPr="002D656E" w:rsidRDefault="006C5256" w:rsidP="00DF1BC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26 959 796,7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AB6E7" w14:textId="6C6F822F" w:rsidR="006C5256" w:rsidRPr="00FC0D84" w:rsidRDefault="00FC0D84" w:rsidP="00DF1BC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FC0D8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549 308,0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76F18" w14:textId="0800E114" w:rsidR="006C5256" w:rsidRPr="00FC0D84" w:rsidRDefault="00FC0D84" w:rsidP="00DF1BC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FC0D8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27 509 104,7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DC7E1" w14:textId="44E88FAC" w:rsidR="006C5256" w:rsidRPr="0066463E" w:rsidRDefault="0066463E" w:rsidP="00DF1BC3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66463E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102,0</w:t>
            </w:r>
          </w:p>
        </w:tc>
      </w:tr>
      <w:tr w:rsidR="006C5256" w:rsidRPr="00F264E9" w14:paraId="702BA6DA" w14:textId="77777777" w:rsidTr="006C5256">
        <w:trPr>
          <w:trHeight w:val="11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485AE" w14:textId="77777777" w:rsidR="006C5256" w:rsidRPr="00DF1BC3" w:rsidRDefault="006C5256" w:rsidP="00F264E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F1BC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35E3" w14:textId="6825B324" w:rsidR="006C5256" w:rsidRPr="000F7CDC" w:rsidRDefault="006C5256" w:rsidP="00DF1BC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F7CDC">
              <w:rPr>
                <w:rFonts w:eastAsia="Times New Roman"/>
                <w:sz w:val="20"/>
                <w:szCs w:val="20"/>
                <w:lang w:eastAsia="ru-RU"/>
              </w:rPr>
              <w:t>Выполнение функций аппаратами государственных внебюджетных фондов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F87D" w14:textId="55BDB77F" w:rsidR="006C5256" w:rsidRPr="000F7CDC" w:rsidRDefault="006C5256" w:rsidP="00DF1BC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172 657,1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E73C2" w14:textId="01F86453" w:rsidR="006C5256" w:rsidRPr="00FC0D84" w:rsidRDefault="006C5256" w:rsidP="00DF1BC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C0D84">
              <w:rPr>
                <w:rFonts w:eastAsia="Times New Roman"/>
                <w:sz w:val="22"/>
                <w:szCs w:val="22"/>
                <w:lang w:eastAsia="ru-RU"/>
              </w:rPr>
              <w:t xml:space="preserve">0,0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7F17" w14:textId="032ECE98" w:rsidR="006C5256" w:rsidRPr="00FC0D84" w:rsidRDefault="00FC0D84" w:rsidP="00DF1BC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C0D84">
              <w:rPr>
                <w:rFonts w:eastAsia="Times New Roman"/>
                <w:sz w:val="22"/>
                <w:szCs w:val="22"/>
                <w:lang w:eastAsia="ru-RU"/>
              </w:rPr>
              <w:t>172 657,1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7763C" w14:textId="77777777" w:rsidR="006C5256" w:rsidRPr="00FC0D84" w:rsidRDefault="006C5256" w:rsidP="00DF1BC3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FC0D84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100,0</w:t>
            </w:r>
          </w:p>
        </w:tc>
      </w:tr>
      <w:tr w:rsidR="006C5256" w:rsidRPr="00F264E9" w14:paraId="3B3642F3" w14:textId="77777777" w:rsidTr="00E55349">
        <w:trPr>
          <w:trHeight w:val="3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21D9E" w14:textId="77777777" w:rsidR="006C5256" w:rsidRPr="00DF1BC3" w:rsidRDefault="006C5256" w:rsidP="00F264E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F1BC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0CCB" w14:textId="59B677B9" w:rsidR="006C5256" w:rsidRPr="00475658" w:rsidRDefault="006C5256" w:rsidP="00DF1BC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75658">
              <w:rPr>
                <w:rFonts w:eastAsia="Times New Roman"/>
                <w:sz w:val="20"/>
                <w:szCs w:val="20"/>
                <w:lang w:eastAsia="ru-RU"/>
              </w:rPr>
              <w:t>Расходы ТФОМС УР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28BC8" w14:textId="592A81CF" w:rsidR="006C5256" w:rsidRPr="00475658" w:rsidRDefault="006C5256" w:rsidP="00DF1BC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26 787 139,6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0CB78" w14:textId="040480F4" w:rsidR="006C5256" w:rsidRPr="00FC0D84" w:rsidRDefault="00FC0D84" w:rsidP="00DF1BC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C0D84">
              <w:rPr>
                <w:rFonts w:eastAsia="Times New Roman"/>
                <w:sz w:val="22"/>
                <w:szCs w:val="22"/>
                <w:lang w:eastAsia="ru-RU"/>
              </w:rPr>
              <w:t>549 308,0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6887" w14:textId="65E71553" w:rsidR="006C5256" w:rsidRPr="00FC0D84" w:rsidRDefault="00FC0D84" w:rsidP="00DF1BC3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C0D84">
              <w:rPr>
                <w:rFonts w:eastAsia="Times New Roman"/>
                <w:sz w:val="22"/>
                <w:szCs w:val="22"/>
                <w:lang w:eastAsia="ru-RU"/>
              </w:rPr>
              <w:t>27 336 447,6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8C3C9" w14:textId="673AC232" w:rsidR="006C5256" w:rsidRPr="0066463E" w:rsidRDefault="0066463E" w:rsidP="00DF1BC3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</w:pPr>
            <w:r w:rsidRPr="0066463E">
              <w:rPr>
                <w:rFonts w:eastAsia="Times New Roman"/>
                <w:i/>
                <w:iCs/>
                <w:sz w:val="22"/>
                <w:szCs w:val="22"/>
                <w:lang w:eastAsia="ru-RU"/>
              </w:rPr>
              <w:t>102,1</w:t>
            </w:r>
          </w:p>
        </w:tc>
      </w:tr>
      <w:tr w:rsidR="00E55349" w:rsidRPr="00F264E9" w14:paraId="51B5F431" w14:textId="77777777" w:rsidTr="00E55349">
        <w:trPr>
          <w:trHeight w:val="3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0C87EC" w14:textId="77777777" w:rsidR="00E55349" w:rsidRPr="00DF1BC3" w:rsidRDefault="00E55349" w:rsidP="00E553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73816" w14:textId="13A0DC50" w:rsidR="00E55349" w:rsidRPr="00475658" w:rsidRDefault="00E55349" w:rsidP="00E553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C7E5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Дефицит (-) / профицит (+)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F652F" w14:textId="1D30AA41" w:rsidR="00E55349" w:rsidRPr="00E55349" w:rsidRDefault="00E55349" w:rsidP="00E553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55349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- 7 354,6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97099" w14:textId="6F003423" w:rsidR="00E55349" w:rsidRPr="00E55349" w:rsidRDefault="00E55349" w:rsidP="00E553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55349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- 407 680,6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18416" w14:textId="75DD0937" w:rsidR="00E55349" w:rsidRPr="00E55349" w:rsidRDefault="00E55349" w:rsidP="00E5534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E55349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- 400 326,0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5060E" w14:textId="77777777" w:rsidR="00E55349" w:rsidRPr="0066463E" w:rsidRDefault="00E55349" w:rsidP="00E55349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</w:p>
        </w:tc>
      </w:tr>
    </w:tbl>
    <w:p w14:paraId="01EF7233" w14:textId="77777777" w:rsidR="006C07F2" w:rsidRDefault="006C07F2" w:rsidP="006C07F2">
      <w:pPr>
        <w:pStyle w:val="a9"/>
        <w:tabs>
          <w:tab w:val="left" w:pos="720"/>
          <w:tab w:val="left" w:pos="9360"/>
        </w:tabs>
        <w:spacing w:after="0" w:line="240" w:lineRule="auto"/>
        <w:ind w:left="0" w:firstLine="709"/>
        <w:jc w:val="both"/>
        <w:rPr>
          <w:highlight w:val="yellow"/>
        </w:rPr>
      </w:pPr>
    </w:p>
    <w:p w14:paraId="4E839BC1" w14:textId="41B29150" w:rsidR="00D23F2F" w:rsidRPr="00D37F19" w:rsidRDefault="00D23F2F" w:rsidP="00D23F2F">
      <w:pPr>
        <w:tabs>
          <w:tab w:val="left" w:pos="993"/>
        </w:tabs>
        <w:autoSpaceDE w:val="0"/>
        <w:autoSpaceDN w:val="0"/>
        <w:spacing w:after="0" w:line="288" w:lineRule="auto"/>
        <w:ind w:right="-2" w:firstLine="709"/>
        <w:jc w:val="both"/>
        <w:rPr>
          <w:rFonts w:eastAsia="Times New Roman"/>
          <w:color w:val="000000" w:themeColor="text1"/>
          <w:lang w:eastAsia="ru-RU"/>
        </w:rPr>
      </w:pPr>
      <w:r w:rsidRPr="00D37F19">
        <w:rPr>
          <w:rFonts w:eastAsia="Times New Roman"/>
          <w:color w:val="000000" w:themeColor="text1"/>
          <w:lang w:eastAsia="ru-RU"/>
        </w:rPr>
        <w:t xml:space="preserve">В </w:t>
      </w:r>
      <w:r w:rsidRPr="00D37F19">
        <w:rPr>
          <w:rFonts w:eastAsia="Times New Roman"/>
          <w:b/>
          <w:color w:val="000000" w:themeColor="text1"/>
          <w:lang w:eastAsia="ru-RU"/>
        </w:rPr>
        <w:t>доходную часть бюджета</w:t>
      </w:r>
      <w:r w:rsidRPr="00D37F19">
        <w:rPr>
          <w:rFonts w:eastAsia="Times New Roman"/>
          <w:color w:val="000000" w:themeColor="text1"/>
          <w:lang w:eastAsia="ru-RU"/>
        </w:rPr>
        <w:t xml:space="preserve"> Фонда на 202</w:t>
      </w:r>
      <w:r w:rsidR="00FC0D84">
        <w:rPr>
          <w:rFonts w:eastAsia="Times New Roman"/>
          <w:color w:val="000000" w:themeColor="text1"/>
          <w:lang w:eastAsia="ru-RU"/>
        </w:rPr>
        <w:t>3</w:t>
      </w:r>
      <w:r w:rsidRPr="00D37F19">
        <w:rPr>
          <w:rFonts w:eastAsia="Times New Roman"/>
          <w:color w:val="000000" w:themeColor="text1"/>
          <w:lang w:eastAsia="ru-RU"/>
        </w:rPr>
        <w:t xml:space="preserve"> год предлагается внести изменения на сумму </w:t>
      </w:r>
      <w:r w:rsidR="00E55349">
        <w:rPr>
          <w:rFonts w:eastAsia="Times New Roman"/>
          <w:color w:val="000000" w:themeColor="text1"/>
          <w:lang w:eastAsia="ru-RU"/>
        </w:rPr>
        <w:t>148 982</w:t>
      </w:r>
      <w:r w:rsidR="00D37F19" w:rsidRPr="00D37F19">
        <w:rPr>
          <w:rFonts w:eastAsia="Times New Roman"/>
          <w:color w:val="000000" w:themeColor="text1"/>
          <w:lang w:eastAsia="ru-RU"/>
        </w:rPr>
        <w:t>,</w:t>
      </w:r>
      <w:r w:rsidR="00E55349">
        <w:rPr>
          <w:rFonts w:eastAsia="Times New Roman"/>
          <w:color w:val="000000" w:themeColor="text1"/>
          <w:lang w:eastAsia="ru-RU"/>
        </w:rPr>
        <w:t>0</w:t>
      </w:r>
      <w:r w:rsidRPr="00D37F19">
        <w:rPr>
          <w:rFonts w:eastAsia="Times New Roman"/>
          <w:color w:val="000000" w:themeColor="text1"/>
          <w:lang w:eastAsia="ru-RU"/>
        </w:rPr>
        <w:t xml:space="preserve"> тыс. рублей за счет:</w:t>
      </w:r>
    </w:p>
    <w:p w14:paraId="29FB2CDB" w14:textId="1734E32A" w:rsidR="00D23F2F" w:rsidRPr="008D3F3E" w:rsidRDefault="00D23F2F" w:rsidP="00D23F2F">
      <w:pPr>
        <w:numPr>
          <w:ilvl w:val="0"/>
          <w:numId w:val="12"/>
        </w:numPr>
        <w:tabs>
          <w:tab w:val="left" w:pos="709"/>
          <w:tab w:val="left" w:pos="1134"/>
        </w:tabs>
        <w:autoSpaceDE w:val="0"/>
        <w:autoSpaceDN w:val="0"/>
        <w:spacing w:after="0" w:line="288" w:lineRule="auto"/>
        <w:ind w:left="0" w:right="-2" w:firstLine="709"/>
        <w:jc w:val="both"/>
        <w:rPr>
          <w:rFonts w:eastAsia="Times New Roman"/>
          <w:color w:val="000000" w:themeColor="text1"/>
          <w:lang w:eastAsia="ru-RU"/>
        </w:rPr>
      </w:pPr>
      <w:r w:rsidRPr="008D3F3E">
        <w:rPr>
          <w:rFonts w:eastAsia="Times New Roman"/>
          <w:color w:val="000000" w:themeColor="text1"/>
          <w:lang w:eastAsia="ru-RU"/>
        </w:rPr>
        <w:t xml:space="preserve">фактически поступивших налоговых и неналоговых доходов на сумму (+) </w:t>
      </w:r>
      <w:r w:rsidR="00D057D4">
        <w:rPr>
          <w:rFonts w:eastAsia="Times New Roman"/>
          <w:color w:val="000000" w:themeColor="text1"/>
          <w:lang w:eastAsia="ru-RU"/>
        </w:rPr>
        <w:t>1 109,3</w:t>
      </w:r>
      <w:r w:rsidR="00D37F19" w:rsidRPr="008D3F3E">
        <w:rPr>
          <w:rFonts w:eastAsia="Times New Roman"/>
          <w:color w:val="000000" w:themeColor="text1"/>
          <w:lang w:eastAsia="ru-RU"/>
        </w:rPr>
        <w:t xml:space="preserve"> </w:t>
      </w:r>
      <w:r w:rsidRPr="008D3F3E">
        <w:rPr>
          <w:rFonts w:eastAsia="Times New Roman"/>
          <w:color w:val="000000" w:themeColor="text1"/>
          <w:lang w:eastAsia="ru-RU"/>
        </w:rPr>
        <w:t>тыс. рублей;</w:t>
      </w:r>
    </w:p>
    <w:p w14:paraId="6ABB4EC8" w14:textId="196217A3" w:rsidR="00D37F19" w:rsidRPr="008D3F3E" w:rsidRDefault="00D23F2F" w:rsidP="00D23F2F">
      <w:pPr>
        <w:numPr>
          <w:ilvl w:val="0"/>
          <w:numId w:val="12"/>
        </w:numPr>
        <w:tabs>
          <w:tab w:val="left" w:pos="709"/>
          <w:tab w:val="left" w:pos="1134"/>
        </w:tabs>
        <w:autoSpaceDE w:val="0"/>
        <w:autoSpaceDN w:val="0"/>
        <w:spacing w:after="0" w:line="288" w:lineRule="auto"/>
        <w:ind w:left="0" w:right="-2" w:firstLine="709"/>
        <w:jc w:val="both"/>
        <w:rPr>
          <w:rFonts w:eastAsia="Times New Roman"/>
          <w:color w:val="000000" w:themeColor="text1"/>
          <w:lang w:eastAsia="ru-RU"/>
        </w:rPr>
      </w:pPr>
      <w:r w:rsidRPr="008D3F3E">
        <w:rPr>
          <w:rFonts w:eastAsia="Times New Roman"/>
          <w:color w:val="000000" w:themeColor="text1"/>
          <w:lang w:eastAsia="ru-RU"/>
        </w:rPr>
        <w:t xml:space="preserve">поступивших безвозмездных поступлений в виде межбюджетных трансфертов на сумму (+) </w:t>
      </w:r>
      <w:r w:rsidR="00D057D4">
        <w:rPr>
          <w:rFonts w:eastAsia="Times New Roman"/>
          <w:color w:val="000000" w:themeColor="text1"/>
          <w:lang w:eastAsia="ru-RU"/>
        </w:rPr>
        <w:t>147 872,7</w:t>
      </w:r>
      <w:r w:rsidRPr="008D3F3E">
        <w:rPr>
          <w:rFonts w:eastAsia="Times New Roman"/>
          <w:color w:val="000000" w:themeColor="text1"/>
          <w:lang w:eastAsia="ru-RU"/>
        </w:rPr>
        <w:t xml:space="preserve"> тыс. рублей;</w:t>
      </w:r>
    </w:p>
    <w:p w14:paraId="7A3A1792" w14:textId="0C1E4629" w:rsidR="00D23F2F" w:rsidRPr="008D3F3E" w:rsidRDefault="00D23F2F" w:rsidP="00D23F2F">
      <w:pPr>
        <w:numPr>
          <w:ilvl w:val="0"/>
          <w:numId w:val="12"/>
        </w:numPr>
        <w:tabs>
          <w:tab w:val="left" w:pos="709"/>
          <w:tab w:val="left" w:pos="1134"/>
        </w:tabs>
        <w:autoSpaceDE w:val="0"/>
        <w:autoSpaceDN w:val="0"/>
        <w:spacing w:after="0" w:line="288" w:lineRule="auto"/>
        <w:ind w:left="0" w:right="-2" w:firstLine="709"/>
        <w:jc w:val="both"/>
        <w:rPr>
          <w:rFonts w:eastAsia="Times New Roman"/>
          <w:color w:val="000000" w:themeColor="text1"/>
          <w:lang w:eastAsia="ru-RU"/>
        </w:rPr>
      </w:pPr>
      <w:r w:rsidRPr="008D3F3E">
        <w:rPr>
          <w:rFonts w:eastAsia="Times New Roman"/>
          <w:color w:val="000000" w:themeColor="text1"/>
          <w:lang w:eastAsia="ru-RU"/>
        </w:rPr>
        <w:t xml:space="preserve">доходов от возврата остатков субсидий, субвенций, иных межбюджетных трансфертов на сумму (+) </w:t>
      </w:r>
      <w:r w:rsidR="00D057D4">
        <w:rPr>
          <w:rFonts w:eastAsia="Times New Roman"/>
          <w:color w:val="000000" w:themeColor="text1"/>
          <w:lang w:eastAsia="ru-RU"/>
        </w:rPr>
        <w:t>346</w:t>
      </w:r>
      <w:r w:rsidR="008D3F3E" w:rsidRPr="008D3F3E">
        <w:rPr>
          <w:rFonts w:eastAsia="Times New Roman"/>
          <w:color w:val="000000" w:themeColor="text1"/>
          <w:lang w:eastAsia="ru-RU"/>
        </w:rPr>
        <w:t>,</w:t>
      </w:r>
      <w:r w:rsidR="00D057D4">
        <w:rPr>
          <w:rFonts w:eastAsia="Times New Roman"/>
          <w:color w:val="000000" w:themeColor="text1"/>
          <w:lang w:eastAsia="ru-RU"/>
        </w:rPr>
        <w:t>8</w:t>
      </w:r>
      <w:r w:rsidRPr="008D3F3E">
        <w:rPr>
          <w:rFonts w:eastAsia="Times New Roman"/>
          <w:color w:val="000000" w:themeColor="text1"/>
          <w:lang w:eastAsia="ru-RU"/>
        </w:rPr>
        <w:t xml:space="preserve"> тыс. рублей;</w:t>
      </w:r>
    </w:p>
    <w:p w14:paraId="21A7350D" w14:textId="16C25F97" w:rsidR="00D23F2F" w:rsidRPr="008D3F3E" w:rsidRDefault="00D23F2F" w:rsidP="00D23F2F">
      <w:pPr>
        <w:numPr>
          <w:ilvl w:val="0"/>
          <w:numId w:val="12"/>
        </w:numPr>
        <w:tabs>
          <w:tab w:val="left" w:pos="709"/>
          <w:tab w:val="left" w:pos="1134"/>
        </w:tabs>
        <w:autoSpaceDE w:val="0"/>
        <w:autoSpaceDN w:val="0"/>
        <w:spacing w:after="0" w:line="288" w:lineRule="auto"/>
        <w:ind w:left="0" w:right="-2" w:firstLine="709"/>
        <w:jc w:val="both"/>
        <w:rPr>
          <w:rFonts w:eastAsia="Times New Roman"/>
          <w:color w:val="000000" w:themeColor="text1"/>
          <w:lang w:eastAsia="ru-RU"/>
        </w:rPr>
      </w:pPr>
      <w:r w:rsidRPr="008D3F3E">
        <w:rPr>
          <w:rFonts w:eastAsia="Times New Roman"/>
          <w:color w:val="000000" w:themeColor="text1"/>
          <w:lang w:eastAsia="ru-RU"/>
        </w:rPr>
        <w:t xml:space="preserve">возврата остатков субсидий, субвенций, иных межбюджетных трансфертов на сумму (-) </w:t>
      </w:r>
      <w:r w:rsidR="00D057D4">
        <w:rPr>
          <w:rFonts w:eastAsia="Times New Roman"/>
          <w:color w:val="000000" w:themeColor="text1"/>
          <w:lang w:eastAsia="ru-RU"/>
        </w:rPr>
        <w:t>209 282,9</w:t>
      </w:r>
      <w:r w:rsidRPr="008D3F3E">
        <w:rPr>
          <w:rFonts w:eastAsia="Times New Roman"/>
          <w:color w:val="000000" w:themeColor="text1"/>
          <w:lang w:eastAsia="ru-RU"/>
        </w:rPr>
        <w:t xml:space="preserve"> тыс. рублей.</w:t>
      </w:r>
    </w:p>
    <w:p w14:paraId="26AAF4B0" w14:textId="232B863D" w:rsidR="00D23F2F" w:rsidRPr="008D3F3E" w:rsidRDefault="00D23F2F" w:rsidP="00D23F2F">
      <w:pPr>
        <w:tabs>
          <w:tab w:val="left" w:pos="993"/>
        </w:tabs>
        <w:autoSpaceDE w:val="0"/>
        <w:autoSpaceDN w:val="0"/>
        <w:spacing w:after="0" w:line="288" w:lineRule="auto"/>
        <w:ind w:right="-2" w:firstLine="709"/>
        <w:jc w:val="both"/>
        <w:rPr>
          <w:rFonts w:eastAsia="Times New Roman"/>
          <w:color w:val="000000" w:themeColor="text1"/>
          <w:lang w:eastAsia="ru-RU"/>
        </w:rPr>
      </w:pPr>
      <w:r w:rsidRPr="008D3F3E">
        <w:rPr>
          <w:rFonts w:eastAsia="Times New Roman"/>
          <w:b/>
          <w:color w:val="000000" w:themeColor="text1"/>
          <w:lang w:eastAsia="ru-RU"/>
        </w:rPr>
        <w:t>Расходную часть</w:t>
      </w:r>
      <w:r w:rsidRPr="008D3F3E">
        <w:rPr>
          <w:rFonts w:eastAsia="Times New Roman"/>
          <w:color w:val="000000" w:themeColor="text1"/>
          <w:lang w:eastAsia="ru-RU"/>
        </w:rPr>
        <w:t xml:space="preserve"> бюджета Фонда на 202</w:t>
      </w:r>
      <w:r w:rsidR="00D057D4">
        <w:rPr>
          <w:rFonts w:eastAsia="Times New Roman"/>
          <w:color w:val="000000" w:themeColor="text1"/>
          <w:lang w:eastAsia="ru-RU"/>
        </w:rPr>
        <w:t>3</w:t>
      </w:r>
      <w:r w:rsidRPr="008D3F3E">
        <w:rPr>
          <w:rFonts w:eastAsia="Times New Roman"/>
          <w:color w:val="000000" w:themeColor="text1"/>
          <w:lang w:eastAsia="ru-RU"/>
        </w:rPr>
        <w:t xml:space="preserve"> год предлагается увеличить на </w:t>
      </w:r>
      <w:r w:rsidR="0040445A">
        <w:rPr>
          <w:rFonts w:eastAsia="Times New Roman"/>
          <w:color w:val="000000" w:themeColor="text1"/>
          <w:lang w:eastAsia="ru-RU"/>
        </w:rPr>
        <w:t>549 308,0</w:t>
      </w:r>
      <w:r w:rsidR="008D3F3E" w:rsidRPr="008D3F3E">
        <w:rPr>
          <w:rFonts w:eastAsia="Times New Roman"/>
          <w:color w:val="000000" w:themeColor="text1"/>
          <w:lang w:eastAsia="ru-RU"/>
        </w:rPr>
        <w:t xml:space="preserve"> </w:t>
      </w:r>
      <w:r w:rsidRPr="008D3F3E">
        <w:rPr>
          <w:rFonts w:eastAsia="Times New Roman"/>
          <w:color w:val="000000" w:themeColor="text1"/>
          <w:lang w:eastAsia="ru-RU"/>
        </w:rPr>
        <w:t>тыс. рублей в целях финансового обеспечения:</w:t>
      </w:r>
    </w:p>
    <w:p w14:paraId="66442F3C" w14:textId="5570F678" w:rsidR="00D23F2F" w:rsidRPr="00A73957" w:rsidRDefault="0040445A" w:rsidP="00D23F2F">
      <w:pPr>
        <w:numPr>
          <w:ilvl w:val="0"/>
          <w:numId w:val="13"/>
        </w:numPr>
        <w:tabs>
          <w:tab w:val="left" w:pos="709"/>
          <w:tab w:val="left" w:pos="1276"/>
        </w:tabs>
        <w:autoSpaceDE w:val="0"/>
        <w:autoSpaceDN w:val="0"/>
        <w:spacing w:after="0" w:line="288" w:lineRule="auto"/>
        <w:ind w:left="0" w:right="-2" w:firstLine="709"/>
        <w:jc w:val="both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 xml:space="preserve">организации ОМС на оплату оказанной медицинской помощи гражданам Российской Федерации, застрахованным по ОМС на территории Удмуртской Республики и пролеченным в медицинских организациях Удмуртской Республики;  </w:t>
      </w:r>
    </w:p>
    <w:p w14:paraId="60D4FC18" w14:textId="25C1B4CD" w:rsidR="00D23F2F" w:rsidRPr="005F1B7B" w:rsidRDefault="0040445A" w:rsidP="00D23F2F">
      <w:pPr>
        <w:numPr>
          <w:ilvl w:val="0"/>
          <w:numId w:val="13"/>
        </w:numPr>
        <w:tabs>
          <w:tab w:val="left" w:pos="709"/>
          <w:tab w:val="left" w:pos="1276"/>
        </w:tabs>
        <w:autoSpaceDE w:val="0"/>
        <w:autoSpaceDN w:val="0"/>
        <w:spacing w:after="0" w:line="288" w:lineRule="auto"/>
        <w:ind w:left="0" w:right="-2" w:firstLine="709"/>
        <w:jc w:val="both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 xml:space="preserve">организации ОМС на оплату оказанной медицинской помощи иногородним </w:t>
      </w:r>
      <w:r w:rsidR="00346F61">
        <w:rPr>
          <w:rFonts w:eastAsia="Times New Roman"/>
          <w:color w:val="000000" w:themeColor="text1"/>
          <w:lang w:eastAsia="ru-RU"/>
        </w:rPr>
        <w:t>гражданам в медицинских организациях Удмуртской Республики</w:t>
      </w:r>
      <w:r w:rsidR="00D23F2F" w:rsidRPr="005F1B7B">
        <w:rPr>
          <w:rFonts w:eastAsia="Times New Roman"/>
          <w:color w:val="000000" w:themeColor="text1"/>
          <w:lang w:eastAsia="ru-RU"/>
        </w:rPr>
        <w:t>;</w:t>
      </w:r>
    </w:p>
    <w:p w14:paraId="65D802C0" w14:textId="4DF7B079" w:rsidR="00D23F2F" w:rsidRPr="00346F61" w:rsidRDefault="00346F61" w:rsidP="005F1B7B">
      <w:pPr>
        <w:numPr>
          <w:ilvl w:val="0"/>
          <w:numId w:val="13"/>
        </w:numPr>
        <w:tabs>
          <w:tab w:val="left" w:pos="709"/>
          <w:tab w:val="left" w:pos="1276"/>
        </w:tabs>
        <w:autoSpaceDE w:val="0"/>
        <w:autoSpaceDN w:val="0"/>
        <w:spacing w:after="0" w:line="288" w:lineRule="auto"/>
        <w:ind w:left="0" w:right="-2" w:firstLine="709"/>
        <w:jc w:val="both"/>
        <w:rPr>
          <w:rFonts w:eastAsia="Times New Roman"/>
          <w:color w:val="C00000"/>
          <w:lang w:eastAsia="ru-RU"/>
        </w:rPr>
      </w:pPr>
      <w:r>
        <w:rPr>
          <w:rFonts w:eastAsia="Times New Roman"/>
          <w:color w:val="000000" w:themeColor="text1"/>
          <w:lang w:eastAsia="ru-RU"/>
        </w:rPr>
        <w:lastRenderedPageBreak/>
        <w:t>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с целью реализации Плана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оборудования;</w:t>
      </w:r>
    </w:p>
    <w:p w14:paraId="3239F636" w14:textId="0889466B" w:rsidR="00346F61" w:rsidRPr="00346F61" w:rsidRDefault="00346F61" w:rsidP="005F1B7B">
      <w:pPr>
        <w:numPr>
          <w:ilvl w:val="0"/>
          <w:numId w:val="13"/>
        </w:numPr>
        <w:tabs>
          <w:tab w:val="left" w:pos="709"/>
          <w:tab w:val="left" w:pos="1276"/>
        </w:tabs>
        <w:autoSpaceDE w:val="0"/>
        <w:autoSpaceDN w:val="0"/>
        <w:spacing w:after="0" w:line="288" w:lineRule="auto"/>
        <w:ind w:left="0" w:right="-2" w:firstLine="709"/>
        <w:jc w:val="both"/>
        <w:rPr>
          <w:rFonts w:eastAsia="Times New Roman"/>
          <w:color w:val="C00000"/>
          <w:lang w:eastAsia="ru-RU"/>
        </w:rPr>
      </w:pPr>
      <w:r>
        <w:rPr>
          <w:rFonts w:eastAsia="Times New Roman"/>
          <w:color w:val="000000" w:themeColor="text1"/>
          <w:lang w:eastAsia="ru-RU"/>
        </w:rPr>
        <w:t>формирования нормированного страхового запаса Фонда для софинансирования расходов медицинских организаций на оплату труда врачей и среднего медицинского персонала;</w:t>
      </w:r>
    </w:p>
    <w:p w14:paraId="155F3524" w14:textId="6B06C874" w:rsidR="00346F61" w:rsidRPr="00A94E1A" w:rsidRDefault="00346F61" w:rsidP="005F1B7B">
      <w:pPr>
        <w:numPr>
          <w:ilvl w:val="0"/>
          <w:numId w:val="13"/>
        </w:numPr>
        <w:tabs>
          <w:tab w:val="left" w:pos="709"/>
          <w:tab w:val="left" w:pos="1276"/>
        </w:tabs>
        <w:autoSpaceDE w:val="0"/>
        <w:autoSpaceDN w:val="0"/>
        <w:spacing w:after="0" w:line="288" w:lineRule="auto"/>
        <w:ind w:left="0" w:right="-2" w:firstLine="709"/>
        <w:jc w:val="both"/>
        <w:rPr>
          <w:rFonts w:eastAsia="Times New Roman"/>
          <w:color w:val="C00000"/>
          <w:lang w:eastAsia="ru-RU"/>
        </w:rPr>
      </w:pPr>
      <w:r>
        <w:rPr>
          <w:rFonts w:eastAsia="Times New Roman"/>
          <w:color w:val="000000" w:themeColor="text1"/>
          <w:lang w:eastAsia="ru-RU"/>
        </w:rPr>
        <w:t xml:space="preserve">осуществления денежных выплат стимулирующего </w:t>
      </w:r>
      <w:r w:rsidR="00764881">
        <w:rPr>
          <w:rFonts w:eastAsia="Times New Roman"/>
          <w:color w:val="000000" w:themeColor="text1"/>
          <w:lang w:eastAsia="ru-RU"/>
        </w:rPr>
        <w:t xml:space="preserve">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за счет поступлений межбюджетных трансфертов из бюджета Федерального фонда обязательного медицинского страхования.   </w:t>
      </w:r>
    </w:p>
    <w:p w14:paraId="7D1DFAD1" w14:textId="77777777" w:rsidR="00622038" w:rsidRDefault="00D27A0F" w:rsidP="00590989">
      <w:pPr>
        <w:spacing w:after="0" w:line="288" w:lineRule="auto"/>
        <w:ind w:firstLine="708"/>
        <w:jc w:val="both"/>
        <w:rPr>
          <w:color w:val="000000" w:themeColor="text1"/>
        </w:rPr>
      </w:pPr>
      <w:r w:rsidRPr="001219B8">
        <w:rPr>
          <w:color w:val="000000" w:themeColor="text1"/>
        </w:rPr>
        <w:t xml:space="preserve">На Проект закона получены положительные заключения Управления </w:t>
      </w:r>
      <w:r w:rsidR="00590989" w:rsidRPr="001219B8">
        <w:rPr>
          <w:color w:val="000000" w:themeColor="text1"/>
        </w:rPr>
        <w:t>М</w:t>
      </w:r>
      <w:r w:rsidRPr="001219B8">
        <w:rPr>
          <w:color w:val="000000" w:themeColor="text1"/>
        </w:rPr>
        <w:t xml:space="preserve">инистерства юстиции Российской Федерации по Удмуртской Республике, </w:t>
      </w:r>
      <w:r w:rsidR="00590989" w:rsidRPr="001219B8">
        <w:rPr>
          <w:color w:val="000000" w:themeColor="text1"/>
        </w:rPr>
        <w:t>П</w:t>
      </w:r>
      <w:r w:rsidRPr="001219B8">
        <w:rPr>
          <w:color w:val="000000" w:themeColor="text1"/>
        </w:rPr>
        <w:t>рокуратуры Удмуртской Республики</w:t>
      </w:r>
      <w:r w:rsidR="00622038">
        <w:rPr>
          <w:color w:val="000000" w:themeColor="text1"/>
        </w:rPr>
        <w:t xml:space="preserve">. </w:t>
      </w:r>
    </w:p>
    <w:p w14:paraId="54DC0CAE" w14:textId="3BB0C14D" w:rsidR="00D27A0F" w:rsidRDefault="00E340F2" w:rsidP="00590989">
      <w:pPr>
        <w:spacing w:after="0" w:line="288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Как отмечает в своем заключении </w:t>
      </w:r>
      <w:r w:rsidR="00590989" w:rsidRPr="001219B8">
        <w:rPr>
          <w:color w:val="000000" w:themeColor="text1"/>
        </w:rPr>
        <w:t>Правов</w:t>
      </w:r>
      <w:r>
        <w:rPr>
          <w:color w:val="000000" w:themeColor="text1"/>
        </w:rPr>
        <w:t>ое</w:t>
      </w:r>
      <w:r w:rsidR="00590989" w:rsidRPr="001219B8">
        <w:rPr>
          <w:color w:val="000000" w:themeColor="text1"/>
        </w:rPr>
        <w:t xml:space="preserve"> управлени</w:t>
      </w:r>
      <w:r>
        <w:rPr>
          <w:color w:val="000000" w:themeColor="text1"/>
        </w:rPr>
        <w:t>е</w:t>
      </w:r>
      <w:r w:rsidR="00590989" w:rsidRPr="001219B8">
        <w:rPr>
          <w:color w:val="000000" w:themeColor="text1"/>
        </w:rPr>
        <w:t xml:space="preserve"> Аппарата Государственного Совета Удмуртской Республики</w:t>
      </w:r>
      <w:r>
        <w:rPr>
          <w:color w:val="000000" w:themeColor="text1"/>
        </w:rPr>
        <w:t xml:space="preserve"> н</w:t>
      </w:r>
      <w:r w:rsidRPr="00E340F2">
        <w:rPr>
          <w:color w:val="000000" w:themeColor="text1"/>
        </w:rPr>
        <w:t xml:space="preserve">аправление средств бюджета </w:t>
      </w:r>
      <w:r>
        <w:rPr>
          <w:color w:val="000000" w:themeColor="text1"/>
        </w:rPr>
        <w:t>Фонда</w:t>
      </w:r>
      <w:r w:rsidRPr="00E340F2">
        <w:rPr>
          <w:color w:val="000000" w:themeColor="text1"/>
        </w:rPr>
        <w:t xml:space="preserve"> на «финансовое обеспечение организации обязательного медицинского страхования на территории Удмуртской Республики (в рамках базовой программы обязательного медицинского страхования), осуществляемое за сч</w:t>
      </w:r>
      <w:r>
        <w:rPr>
          <w:color w:val="000000" w:themeColor="text1"/>
        </w:rPr>
        <w:t>е</w:t>
      </w:r>
      <w:r w:rsidRPr="00E340F2">
        <w:rPr>
          <w:color w:val="000000" w:themeColor="text1"/>
        </w:rPr>
        <w:t>т иных источников (395 01 13 99 0 12 07400)» и «финансовое обеспечение организации обязательного медицинского страхования на территории Удмуртской Республики (в рамках базовой программы обязательного медицинского страхования), осуществляемое за сч</w:t>
      </w:r>
      <w:r>
        <w:rPr>
          <w:color w:val="000000" w:themeColor="text1"/>
        </w:rPr>
        <w:t>е</w:t>
      </w:r>
      <w:r w:rsidRPr="00E340F2">
        <w:rPr>
          <w:color w:val="000000" w:themeColor="text1"/>
        </w:rPr>
        <w:t xml:space="preserve">т иных источников (395 09 09 99 0 12 07400)» не соответствует статье 35 Бюджетного кодекса Российской Федерации. </w:t>
      </w:r>
    </w:p>
    <w:p w14:paraId="70954ECE" w14:textId="77777777" w:rsidR="00EE3EFD" w:rsidRDefault="00E340F2" w:rsidP="00EE3EFD">
      <w:pPr>
        <w:spacing w:after="0" w:line="288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Государственный контрольный комитет в представленном заключении</w:t>
      </w:r>
      <w:r w:rsidR="008B6585">
        <w:rPr>
          <w:color w:val="000000" w:themeColor="text1"/>
        </w:rPr>
        <w:t xml:space="preserve"> также отмечает, что </w:t>
      </w:r>
      <w:r w:rsidR="0066463E">
        <w:rPr>
          <w:color w:val="000000" w:themeColor="text1"/>
        </w:rPr>
        <w:t>П</w:t>
      </w:r>
      <w:r w:rsidR="008B6585">
        <w:rPr>
          <w:color w:val="000000" w:themeColor="text1"/>
        </w:rPr>
        <w:t xml:space="preserve">роектом закона предусмотрено увязать расходы бюджета Фонда с определенными неналоговыми доходами, </w:t>
      </w:r>
      <w:r w:rsidR="00423CF1">
        <w:rPr>
          <w:color w:val="000000" w:themeColor="text1"/>
        </w:rPr>
        <w:t>тем самым нарушив принцип общего (совокупного) покрытия расходов бюджета</w:t>
      </w:r>
      <w:r w:rsidR="00591DEA">
        <w:rPr>
          <w:color w:val="000000" w:themeColor="text1"/>
        </w:rPr>
        <w:t xml:space="preserve">, установленный статьей 35 </w:t>
      </w:r>
      <w:r w:rsidR="00591DEA" w:rsidRPr="00E340F2">
        <w:rPr>
          <w:color w:val="000000" w:themeColor="text1"/>
        </w:rPr>
        <w:t>Бюджетного кодекса Российской Федерации</w:t>
      </w:r>
      <w:r w:rsidR="00591DEA">
        <w:rPr>
          <w:color w:val="000000" w:themeColor="text1"/>
        </w:rPr>
        <w:t xml:space="preserve">. Изменения в части отражения в составе источников внутреннего финансового дефицита бюджета Фонда на 2023 год остатков средств на счетах Фонда не соответствуют принципу полноты отражения источников финансирования </w:t>
      </w:r>
      <w:r w:rsidR="00591DEA">
        <w:rPr>
          <w:color w:val="000000" w:themeColor="text1"/>
        </w:rPr>
        <w:lastRenderedPageBreak/>
        <w:t xml:space="preserve">дефицитов бюджетов, установленному статьей 32 </w:t>
      </w:r>
      <w:r w:rsidR="00591DEA" w:rsidRPr="00E340F2">
        <w:rPr>
          <w:color w:val="000000" w:themeColor="text1"/>
        </w:rPr>
        <w:t>Бюджетного кодекса Российской Федерации</w:t>
      </w:r>
      <w:r w:rsidR="00591DEA">
        <w:rPr>
          <w:color w:val="000000" w:themeColor="text1"/>
        </w:rPr>
        <w:t xml:space="preserve">.  </w:t>
      </w:r>
      <w:r>
        <w:rPr>
          <w:color w:val="000000" w:themeColor="text1"/>
        </w:rPr>
        <w:t xml:space="preserve">  </w:t>
      </w:r>
    </w:p>
    <w:p w14:paraId="18DF5065" w14:textId="333764EA" w:rsidR="001E3A2A" w:rsidRPr="007D0D8F" w:rsidRDefault="00D27A0F" w:rsidP="00EE3EFD">
      <w:pPr>
        <w:spacing w:after="0" w:line="288" w:lineRule="auto"/>
        <w:ind w:firstLine="708"/>
        <w:jc w:val="both"/>
        <w:rPr>
          <w:color w:val="000000" w:themeColor="text1"/>
        </w:rPr>
      </w:pPr>
      <w:r w:rsidRPr="007D0D8F">
        <w:rPr>
          <w:color w:val="000000" w:themeColor="text1"/>
        </w:rPr>
        <w:t xml:space="preserve">Учитывая изложенное, постоянная комиссия Государственного Совета Удмуртской Республики по бюджету, налогам и финансам </w:t>
      </w:r>
      <w:r w:rsidR="0066463E" w:rsidRPr="007D0D8F">
        <w:rPr>
          <w:color w:val="000000" w:themeColor="text1"/>
        </w:rPr>
        <w:t xml:space="preserve">рекомендует </w:t>
      </w:r>
      <w:r w:rsidR="00EE3EFD" w:rsidRPr="00EE3EFD">
        <w:rPr>
          <w:color w:val="000000" w:themeColor="text1"/>
        </w:rPr>
        <w:t xml:space="preserve">внести </w:t>
      </w:r>
      <w:r w:rsidR="00EE3EFD" w:rsidRPr="007D0D8F">
        <w:rPr>
          <w:color w:val="000000" w:themeColor="text1"/>
        </w:rPr>
        <w:t>проект закона «О внесении изменений в Закон Удмуртской Республики «О бюджете Территориального фонда обязательного медицинского страхования Удмуртской Республики на 202</w:t>
      </w:r>
      <w:r w:rsidR="00EE3EFD">
        <w:rPr>
          <w:color w:val="000000" w:themeColor="text1"/>
        </w:rPr>
        <w:t>3</w:t>
      </w:r>
      <w:r w:rsidR="00EE3EFD" w:rsidRPr="007D0D8F">
        <w:rPr>
          <w:color w:val="000000" w:themeColor="text1"/>
        </w:rPr>
        <w:t xml:space="preserve"> год и на плановый период 202</w:t>
      </w:r>
      <w:r w:rsidR="00EE3EFD">
        <w:rPr>
          <w:color w:val="000000" w:themeColor="text1"/>
        </w:rPr>
        <w:t>4</w:t>
      </w:r>
      <w:r w:rsidR="00EE3EFD" w:rsidRPr="007D0D8F">
        <w:rPr>
          <w:color w:val="000000" w:themeColor="text1"/>
        </w:rPr>
        <w:t xml:space="preserve"> и 202</w:t>
      </w:r>
      <w:r w:rsidR="00EE3EFD">
        <w:rPr>
          <w:color w:val="000000" w:themeColor="text1"/>
        </w:rPr>
        <w:t>5</w:t>
      </w:r>
      <w:r w:rsidR="00EE3EFD" w:rsidRPr="007D0D8F">
        <w:rPr>
          <w:color w:val="000000" w:themeColor="text1"/>
        </w:rPr>
        <w:t xml:space="preserve"> годов» </w:t>
      </w:r>
      <w:r w:rsidR="00EE3EFD" w:rsidRPr="00EE3EFD">
        <w:rPr>
          <w:color w:val="000000" w:themeColor="text1"/>
        </w:rPr>
        <w:t xml:space="preserve">на рассмотрение </w:t>
      </w:r>
      <w:r w:rsidR="00EE3EFD">
        <w:rPr>
          <w:color w:val="000000" w:themeColor="text1"/>
        </w:rPr>
        <w:t>вне</w:t>
      </w:r>
      <w:r w:rsidR="00EE3EFD" w:rsidRPr="00EE3EFD">
        <w:rPr>
          <w:color w:val="000000" w:themeColor="text1"/>
        </w:rPr>
        <w:t>очередной сессии Государственного Совета Удмуртской Республики</w:t>
      </w:r>
      <w:r w:rsidR="00EE3EFD">
        <w:rPr>
          <w:color w:val="000000" w:themeColor="text1"/>
        </w:rPr>
        <w:t xml:space="preserve">, </w:t>
      </w:r>
      <w:r w:rsidR="0066463E" w:rsidRPr="007D0D8F">
        <w:rPr>
          <w:color w:val="000000" w:themeColor="text1"/>
        </w:rPr>
        <w:t>принять</w:t>
      </w:r>
      <w:r w:rsidR="00EE3EFD">
        <w:rPr>
          <w:color w:val="000000" w:themeColor="text1"/>
        </w:rPr>
        <w:t xml:space="preserve"> его</w:t>
      </w:r>
      <w:r w:rsidR="0066463E" w:rsidRPr="007D0D8F">
        <w:rPr>
          <w:color w:val="000000" w:themeColor="text1"/>
        </w:rPr>
        <w:t xml:space="preserve"> в </w:t>
      </w:r>
      <w:r w:rsidR="0066463E">
        <w:rPr>
          <w:color w:val="000000" w:themeColor="text1"/>
        </w:rPr>
        <w:t>первом</w:t>
      </w:r>
      <w:r w:rsidR="0066463E" w:rsidRPr="007D0D8F">
        <w:rPr>
          <w:color w:val="000000" w:themeColor="text1"/>
        </w:rPr>
        <w:t xml:space="preserve"> чтени</w:t>
      </w:r>
      <w:r w:rsidR="0066463E">
        <w:rPr>
          <w:color w:val="000000" w:themeColor="text1"/>
        </w:rPr>
        <w:t>и и установить время для представления поправок до 16 часов 30 минут 16 июня 2023 года</w:t>
      </w:r>
      <w:r w:rsidR="0066463E" w:rsidRPr="007D0D8F">
        <w:rPr>
          <w:color w:val="000000" w:themeColor="text1"/>
        </w:rPr>
        <w:t xml:space="preserve">. </w:t>
      </w:r>
    </w:p>
    <w:p w14:paraId="2EBB0A5E" w14:textId="77777777" w:rsidR="00AB2F6D" w:rsidRPr="007D0D8F" w:rsidRDefault="00AB2F6D" w:rsidP="006D2EB1">
      <w:pPr>
        <w:spacing w:after="0" w:line="240" w:lineRule="auto"/>
        <w:jc w:val="both"/>
        <w:rPr>
          <w:color w:val="000000" w:themeColor="text1"/>
        </w:rPr>
      </w:pPr>
    </w:p>
    <w:p w14:paraId="051B8491" w14:textId="77777777" w:rsidR="003B46A2" w:rsidRPr="007D0D8F" w:rsidRDefault="003B46A2" w:rsidP="003B46A2">
      <w:pPr>
        <w:spacing w:after="0" w:line="240" w:lineRule="auto"/>
        <w:jc w:val="both"/>
        <w:rPr>
          <w:color w:val="000000" w:themeColor="text1"/>
        </w:rPr>
      </w:pPr>
      <w:r w:rsidRPr="007D0D8F">
        <w:rPr>
          <w:color w:val="000000" w:themeColor="text1"/>
        </w:rPr>
        <w:t xml:space="preserve">Председатель   </w:t>
      </w:r>
    </w:p>
    <w:p w14:paraId="72AE49A6" w14:textId="43199414" w:rsidR="00991A7E" w:rsidRPr="007955BC" w:rsidRDefault="003B46A2" w:rsidP="003B46A2">
      <w:pPr>
        <w:spacing w:after="0" w:line="240" w:lineRule="auto"/>
        <w:jc w:val="both"/>
      </w:pPr>
      <w:r w:rsidRPr="007D0D8F">
        <w:rPr>
          <w:color w:val="000000" w:themeColor="text1"/>
        </w:rPr>
        <w:t xml:space="preserve">постоянной комиссии   </w:t>
      </w:r>
      <w:r w:rsidRPr="007D0D8F">
        <w:rPr>
          <w:color w:val="000000" w:themeColor="text1"/>
        </w:rPr>
        <w:tab/>
      </w:r>
      <w:r w:rsidRPr="007D0D8F">
        <w:rPr>
          <w:color w:val="000000" w:themeColor="text1"/>
        </w:rPr>
        <w:tab/>
        <w:t xml:space="preserve">                                                  </w:t>
      </w:r>
      <w:r>
        <w:t>Н.Р. Мухамедзянов</w:t>
      </w:r>
    </w:p>
    <w:sectPr w:rsidR="00991A7E" w:rsidRPr="007955BC" w:rsidSect="00E005E7">
      <w:headerReference w:type="default" r:id="rId9"/>
      <w:footerReference w:type="default" r:id="rId10"/>
      <w:pgSz w:w="11906" w:h="16838"/>
      <w:pgMar w:top="1247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9F7AA" w14:textId="77777777" w:rsidR="00F25D3A" w:rsidRDefault="00F25D3A" w:rsidP="007C730F">
      <w:pPr>
        <w:spacing w:after="0" w:line="240" w:lineRule="auto"/>
      </w:pPr>
      <w:r>
        <w:separator/>
      </w:r>
    </w:p>
  </w:endnote>
  <w:endnote w:type="continuationSeparator" w:id="0">
    <w:p w14:paraId="0CD6BF6B" w14:textId="77777777" w:rsidR="00F25D3A" w:rsidRDefault="00F25D3A" w:rsidP="007C7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Udm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AAE8E" w14:textId="77777777" w:rsidR="00F25D3A" w:rsidRPr="00C05E51" w:rsidRDefault="00F25D3A">
    <w:pPr>
      <w:pStyle w:val="ae"/>
      <w:jc w:val="center"/>
      <w:rPr>
        <w:sz w:val="24"/>
        <w:szCs w:val="24"/>
      </w:rPr>
    </w:pPr>
  </w:p>
  <w:p w14:paraId="33676E21" w14:textId="77777777" w:rsidR="00F25D3A" w:rsidRDefault="00F25D3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9146B" w14:textId="77777777" w:rsidR="00F25D3A" w:rsidRDefault="00F25D3A" w:rsidP="007C730F">
      <w:pPr>
        <w:spacing w:after="0" w:line="240" w:lineRule="auto"/>
      </w:pPr>
      <w:r>
        <w:separator/>
      </w:r>
    </w:p>
  </w:footnote>
  <w:footnote w:type="continuationSeparator" w:id="0">
    <w:p w14:paraId="2EA63380" w14:textId="77777777" w:rsidR="00F25D3A" w:rsidRDefault="00F25D3A" w:rsidP="007C7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586E7" w14:textId="77777777" w:rsidR="00F25D3A" w:rsidRDefault="00EE3EFD" w:rsidP="00932CB7">
    <w:pPr>
      <w:pStyle w:val="ac"/>
      <w:tabs>
        <w:tab w:val="left" w:pos="5271"/>
      </w:tabs>
    </w:pPr>
    <w:sdt>
      <w:sdtPr>
        <w:id w:val="20710819"/>
        <w:docPartObj>
          <w:docPartGallery w:val="Page Numbers (Top of Page)"/>
          <w:docPartUnique/>
        </w:docPartObj>
      </w:sdtPr>
      <w:sdtEndPr>
        <w:rPr>
          <w:sz w:val="24"/>
          <w:szCs w:val="24"/>
        </w:rPr>
      </w:sdtEndPr>
      <w:sdtContent>
        <w:r w:rsidR="00F25D3A">
          <w:tab/>
        </w:r>
        <w:r w:rsidR="00F25D3A" w:rsidRPr="00F25D3A">
          <w:rPr>
            <w:sz w:val="24"/>
            <w:szCs w:val="24"/>
          </w:rPr>
          <w:fldChar w:fldCharType="begin"/>
        </w:r>
        <w:r w:rsidR="00F25D3A" w:rsidRPr="00F25D3A">
          <w:rPr>
            <w:sz w:val="24"/>
            <w:szCs w:val="24"/>
          </w:rPr>
          <w:instrText xml:space="preserve"> PAGE   \* MERGEFORMAT </w:instrText>
        </w:r>
        <w:r w:rsidR="00F25D3A" w:rsidRPr="00F25D3A">
          <w:rPr>
            <w:sz w:val="24"/>
            <w:szCs w:val="24"/>
          </w:rPr>
          <w:fldChar w:fldCharType="separate"/>
        </w:r>
        <w:r w:rsidR="00F25D3A" w:rsidRPr="00F25D3A">
          <w:rPr>
            <w:noProof/>
            <w:sz w:val="24"/>
            <w:szCs w:val="24"/>
          </w:rPr>
          <w:t>2</w:t>
        </w:r>
        <w:r w:rsidR="00F25D3A" w:rsidRPr="00F25D3A">
          <w:rPr>
            <w:sz w:val="24"/>
            <w:szCs w:val="24"/>
          </w:rPr>
          <w:fldChar w:fldCharType="end"/>
        </w:r>
      </w:sdtContent>
    </w:sdt>
    <w:r w:rsidR="00F25D3A"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ADCCC1C"/>
    <w:lvl w:ilvl="0">
      <w:numFmt w:val="bullet"/>
      <w:lvlText w:val="*"/>
      <w:lvlJc w:val="left"/>
    </w:lvl>
  </w:abstractNum>
  <w:abstractNum w:abstractNumId="1" w15:restartNumberingAfterBreak="0">
    <w:nsid w:val="0B492D14"/>
    <w:multiLevelType w:val="hybridMultilevel"/>
    <w:tmpl w:val="189A18C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AA2E14"/>
    <w:multiLevelType w:val="hybridMultilevel"/>
    <w:tmpl w:val="FD4CE6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597773B"/>
    <w:multiLevelType w:val="hybridMultilevel"/>
    <w:tmpl w:val="BAC81EB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F25EEF"/>
    <w:multiLevelType w:val="hybridMultilevel"/>
    <w:tmpl w:val="772EA57A"/>
    <w:lvl w:ilvl="0" w:tplc="ACB2BF70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0AC67CE"/>
    <w:multiLevelType w:val="hybridMultilevel"/>
    <w:tmpl w:val="0930E8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A3E0C2D"/>
    <w:multiLevelType w:val="hybridMultilevel"/>
    <w:tmpl w:val="8CE472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72C4C"/>
    <w:multiLevelType w:val="hybridMultilevel"/>
    <w:tmpl w:val="469EAA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49E04B0"/>
    <w:multiLevelType w:val="hybridMultilevel"/>
    <w:tmpl w:val="B9EE6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023234"/>
    <w:multiLevelType w:val="hybridMultilevel"/>
    <w:tmpl w:val="56A423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B2FC8"/>
    <w:multiLevelType w:val="hybridMultilevel"/>
    <w:tmpl w:val="9026A06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FC132A"/>
    <w:multiLevelType w:val="hybridMultilevel"/>
    <w:tmpl w:val="EF8A34BC"/>
    <w:lvl w:ilvl="0" w:tplc="A12ECC2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F91DD6"/>
    <w:multiLevelType w:val="hybridMultilevel"/>
    <w:tmpl w:val="9E00D4D0"/>
    <w:lvl w:ilvl="0" w:tplc="EA6A7D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2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0B2"/>
    <w:rsid w:val="0001164B"/>
    <w:rsid w:val="00037E15"/>
    <w:rsid w:val="00040CFC"/>
    <w:rsid w:val="00046223"/>
    <w:rsid w:val="0006264F"/>
    <w:rsid w:val="0007039F"/>
    <w:rsid w:val="00072883"/>
    <w:rsid w:val="0008199A"/>
    <w:rsid w:val="00081E95"/>
    <w:rsid w:val="00081FB4"/>
    <w:rsid w:val="00081FBC"/>
    <w:rsid w:val="000858BE"/>
    <w:rsid w:val="000A0DA8"/>
    <w:rsid w:val="000A59DB"/>
    <w:rsid w:val="000A5D42"/>
    <w:rsid w:val="000A71C9"/>
    <w:rsid w:val="000A7828"/>
    <w:rsid w:val="000B3C4F"/>
    <w:rsid w:val="000B6244"/>
    <w:rsid w:val="000C731D"/>
    <w:rsid w:val="000C75EB"/>
    <w:rsid w:val="000D3CC7"/>
    <w:rsid w:val="000E21D9"/>
    <w:rsid w:val="000E39B2"/>
    <w:rsid w:val="000F7CDC"/>
    <w:rsid w:val="00114631"/>
    <w:rsid w:val="0011526B"/>
    <w:rsid w:val="001219B8"/>
    <w:rsid w:val="00122297"/>
    <w:rsid w:val="00124209"/>
    <w:rsid w:val="00134A52"/>
    <w:rsid w:val="001401C3"/>
    <w:rsid w:val="00141455"/>
    <w:rsid w:val="00143335"/>
    <w:rsid w:val="0015166B"/>
    <w:rsid w:val="00151FD6"/>
    <w:rsid w:val="00157DFD"/>
    <w:rsid w:val="0016724D"/>
    <w:rsid w:val="001673CF"/>
    <w:rsid w:val="0017228B"/>
    <w:rsid w:val="00187A6B"/>
    <w:rsid w:val="001A197C"/>
    <w:rsid w:val="001B407D"/>
    <w:rsid w:val="001C2CDA"/>
    <w:rsid w:val="001C5830"/>
    <w:rsid w:val="001D11BC"/>
    <w:rsid w:val="001D3F38"/>
    <w:rsid w:val="001E3A2A"/>
    <w:rsid w:val="001E71A9"/>
    <w:rsid w:val="001E7DA8"/>
    <w:rsid w:val="001F0770"/>
    <w:rsid w:val="002042E8"/>
    <w:rsid w:val="00206801"/>
    <w:rsid w:val="0021181D"/>
    <w:rsid w:val="00213289"/>
    <w:rsid w:val="00215751"/>
    <w:rsid w:val="00216C98"/>
    <w:rsid w:val="00221EBE"/>
    <w:rsid w:val="00225877"/>
    <w:rsid w:val="00236864"/>
    <w:rsid w:val="00244B4D"/>
    <w:rsid w:val="00254E28"/>
    <w:rsid w:val="0025631D"/>
    <w:rsid w:val="0026619B"/>
    <w:rsid w:val="00284F66"/>
    <w:rsid w:val="002977D8"/>
    <w:rsid w:val="002A1B64"/>
    <w:rsid w:val="002A2B0C"/>
    <w:rsid w:val="002B3D08"/>
    <w:rsid w:val="002B6562"/>
    <w:rsid w:val="002B7D77"/>
    <w:rsid w:val="002D55BB"/>
    <w:rsid w:val="002D5743"/>
    <w:rsid w:val="002D656E"/>
    <w:rsid w:val="002F2713"/>
    <w:rsid w:val="002F2998"/>
    <w:rsid w:val="00310838"/>
    <w:rsid w:val="00312BB4"/>
    <w:rsid w:val="003211FE"/>
    <w:rsid w:val="00337955"/>
    <w:rsid w:val="00340965"/>
    <w:rsid w:val="00343B3D"/>
    <w:rsid w:val="003451A0"/>
    <w:rsid w:val="00346F61"/>
    <w:rsid w:val="00347C60"/>
    <w:rsid w:val="00353543"/>
    <w:rsid w:val="00357D38"/>
    <w:rsid w:val="00370889"/>
    <w:rsid w:val="00371CBF"/>
    <w:rsid w:val="00373CD1"/>
    <w:rsid w:val="003752EA"/>
    <w:rsid w:val="0038268F"/>
    <w:rsid w:val="003903D5"/>
    <w:rsid w:val="00391097"/>
    <w:rsid w:val="00395EC7"/>
    <w:rsid w:val="003A1DA0"/>
    <w:rsid w:val="003A643C"/>
    <w:rsid w:val="003B46A2"/>
    <w:rsid w:val="003C4744"/>
    <w:rsid w:val="003C7362"/>
    <w:rsid w:val="003E1137"/>
    <w:rsid w:val="003E3877"/>
    <w:rsid w:val="003E5BE5"/>
    <w:rsid w:val="003F4F5C"/>
    <w:rsid w:val="0040445A"/>
    <w:rsid w:val="004124C3"/>
    <w:rsid w:val="004155B9"/>
    <w:rsid w:val="00423CF1"/>
    <w:rsid w:val="00434FF8"/>
    <w:rsid w:val="0043572D"/>
    <w:rsid w:val="00442C96"/>
    <w:rsid w:val="00446418"/>
    <w:rsid w:val="0045207A"/>
    <w:rsid w:val="00466B43"/>
    <w:rsid w:val="004676AB"/>
    <w:rsid w:val="00473714"/>
    <w:rsid w:val="00475658"/>
    <w:rsid w:val="00482C28"/>
    <w:rsid w:val="004901C8"/>
    <w:rsid w:val="00491E46"/>
    <w:rsid w:val="00495930"/>
    <w:rsid w:val="004A50FF"/>
    <w:rsid w:val="004B0D79"/>
    <w:rsid w:val="004B2931"/>
    <w:rsid w:val="004B2FEB"/>
    <w:rsid w:val="004B4394"/>
    <w:rsid w:val="004B6810"/>
    <w:rsid w:val="004D43B2"/>
    <w:rsid w:val="004E1A20"/>
    <w:rsid w:val="004E5F62"/>
    <w:rsid w:val="004F3F53"/>
    <w:rsid w:val="0050457A"/>
    <w:rsid w:val="00507E1C"/>
    <w:rsid w:val="005168E4"/>
    <w:rsid w:val="00517E1B"/>
    <w:rsid w:val="005210BC"/>
    <w:rsid w:val="00530F95"/>
    <w:rsid w:val="005318EC"/>
    <w:rsid w:val="005332C6"/>
    <w:rsid w:val="00537A94"/>
    <w:rsid w:val="00546478"/>
    <w:rsid w:val="00554955"/>
    <w:rsid w:val="00554E07"/>
    <w:rsid w:val="00571B91"/>
    <w:rsid w:val="00576332"/>
    <w:rsid w:val="0058036A"/>
    <w:rsid w:val="005812C5"/>
    <w:rsid w:val="00590989"/>
    <w:rsid w:val="00591DEA"/>
    <w:rsid w:val="00593D38"/>
    <w:rsid w:val="005940BE"/>
    <w:rsid w:val="005A2F8B"/>
    <w:rsid w:val="005A6F6F"/>
    <w:rsid w:val="005B6B0E"/>
    <w:rsid w:val="005D083A"/>
    <w:rsid w:val="005D1298"/>
    <w:rsid w:val="005E0F3A"/>
    <w:rsid w:val="005E1107"/>
    <w:rsid w:val="005E1D83"/>
    <w:rsid w:val="005E5C3C"/>
    <w:rsid w:val="005E65C6"/>
    <w:rsid w:val="005F1B7B"/>
    <w:rsid w:val="005F683E"/>
    <w:rsid w:val="005F7012"/>
    <w:rsid w:val="005F7DB5"/>
    <w:rsid w:val="006006FC"/>
    <w:rsid w:val="00602E9C"/>
    <w:rsid w:val="0060352D"/>
    <w:rsid w:val="00613154"/>
    <w:rsid w:val="00615A13"/>
    <w:rsid w:val="00621725"/>
    <w:rsid w:val="00622038"/>
    <w:rsid w:val="00622A50"/>
    <w:rsid w:val="00623061"/>
    <w:rsid w:val="006320B2"/>
    <w:rsid w:val="006513A3"/>
    <w:rsid w:val="0065146A"/>
    <w:rsid w:val="0066463E"/>
    <w:rsid w:val="00665850"/>
    <w:rsid w:val="00682549"/>
    <w:rsid w:val="00683F82"/>
    <w:rsid w:val="0069510A"/>
    <w:rsid w:val="006B1D33"/>
    <w:rsid w:val="006B2183"/>
    <w:rsid w:val="006C07F2"/>
    <w:rsid w:val="006C5256"/>
    <w:rsid w:val="006D186C"/>
    <w:rsid w:val="006D24FF"/>
    <w:rsid w:val="006D2EB1"/>
    <w:rsid w:val="006D4B43"/>
    <w:rsid w:val="006E584B"/>
    <w:rsid w:val="006F1CF5"/>
    <w:rsid w:val="00704609"/>
    <w:rsid w:val="00713D39"/>
    <w:rsid w:val="00717522"/>
    <w:rsid w:val="00717E0E"/>
    <w:rsid w:val="0072780B"/>
    <w:rsid w:val="00732418"/>
    <w:rsid w:val="00745969"/>
    <w:rsid w:val="00746EF6"/>
    <w:rsid w:val="00753173"/>
    <w:rsid w:val="0075424E"/>
    <w:rsid w:val="00764881"/>
    <w:rsid w:val="00780551"/>
    <w:rsid w:val="00784423"/>
    <w:rsid w:val="00791C81"/>
    <w:rsid w:val="007955BC"/>
    <w:rsid w:val="00796E28"/>
    <w:rsid w:val="007C55BD"/>
    <w:rsid w:val="007C6B66"/>
    <w:rsid w:val="007C730F"/>
    <w:rsid w:val="007D0D8F"/>
    <w:rsid w:val="007D4921"/>
    <w:rsid w:val="007D755A"/>
    <w:rsid w:val="007F10A8"/>
    <w:rsid w:val="00825453"/>
    <w:rsid w:val="008268A8"/>
    <w:rsid w:val="0083517C"/>
    <w:rsid w:val="008451EE"/>
    <w:rsid w:val="00845FC0"/>
    <w:rsid w:val="00846129"/>
    <w:rsid w:val="00850961"/>
    <w:rsid w:val="00860A5A"/>
    <w:rsid w:val="0086631F"/>
    <w:rsid w:val="00877C56"/>
    <w:rsid w:val="008812F5"/>
    <w:rsid w:val="00882EF3"/>
    <w:rsid w:val="00883906"/>
    <w:rsid w:val="00883D5E"/>
    <w:rsid w:val="00885468"/>
    <w:rsid w:val="0088796F"/>
    <w:rsid w:val="00890A33"/>
    <w:rsid w:val="00892FDA"/>
    <w:rsid w:val="008939F3"/>
    <w:rsid w:val="0089585A"/>
    <w:rsid w:val="008A71F8"/>
    <w:rsid w:val="008B6585"/>
    <w:rsid w:val="008B7ACC"/>
    <w:rsid w:val="008C08B7"/>
    <w:rsid w:val="008C104B"/>
    <w:rsid w:val="008C3AC8"/>
    <w:rsid w:val="008D3F3E"/>
    <w:rsid w:val="008F0609"/>
    <w:rsid w:val="008F1D85"/>
    <w:rsid w:val="008F5D56"/>
    <w:rsid w:val="00902B83"/>
    <w:rsid w:val="0090328A"/>
    <w:rsid w:val="00904520"/>
    <w:rsid w:val="00915E4A"/>
    <w:rsid w:val="00932CB7"/>
    <w:rsid w:val="00933062"/>
    <w:rsid w:val="00963DA1"/>
    <w:rsid w:val="009739E2"/>
    <w:rsid w:val="00986485"/>
    <w:rsid w:val="00991A7E"/>
    <w:rsid w:val="00994433"/>
    <w:rsid w:val="009A2942"/>
    <w:rsid w:val="009B6B4A"/>
    <w:rsid w:val="009E459C"/>
    <w:rsid w:val="009E534C"/>
    <w:rsid w:val="009E565F"/>
    <w:rsid w:val="009F4034"/>
    <w:rsid w:val="00A02255"/>
    <w:rsid w:val="00A02760"/>
    <w:rsid w:val="00A02C05"/>
    <w:rsid w:val="00A131BA"/>
    <w:rsid w:val="00A53F56"/>
    <w:rsid w:val="00A73957"/>
    <w:rsid w:val="00A73D9B"/>
    <w:rsid w:val="00A743A3"/>
    <w:rsid w:val="00A8092D"/>
    <w:rsid w:val="00A92D50"/>
    <w:rsid w:val="00A9477B"/>
    <w:rsid w:val="00A94E1A"/>
    <w:rsid w:val="00AA26A6"/>
    <w:rsid w:val="00AA5BCC"/>
    <w:rsid w:val="00AB2F6D"/>
    <w:rsid w:val="00AC36B3"/>
    <w:rsid w:val="00AD221C"/>
    <w:rsid w:val="00AE567F"/>
    <w:rsid w:val="00AE699C"/>
    <w:rsid w:val="00AF14D9"/>
    <w:rsid w:val="00B013B6"/>
    <w:rsid w:val="00B10545"/>
    <w:rsid w:val="00B15C9A"/>
    <w:rsid w:val="00B17899"/>
    <w:rsid w:val="00B24DE2"/>
    <w:rsid w:val="00B2754F"/>
    <w:rsid w:val="00B357F4"/>
    <w:rsid w:val="00B40BFD"/>
    <w:rsid w:val="00B5451B"/>
    <w:rsid w:val="00B63971"/>
    <w:rsid w:val="00B64073"/>
    <w:rsid w:val="00B65792"/>
    <w:rsid w:val="00B6669F"/>
    <w:rsid w:val="00B71245"/>
    <w:rsid w:val="00B81117"/>
    <w:rsid w:val="00BA1AEE"/>
    <w:rsid w:val="00BA2962"/>
    <w:rsid w:val="00BA5072"/>
    <w:rsid w:val="00BB0BC4"/>
    <w:rsid w:val="00BC42EB"/>
    <w:rsid w:val="00BC519A"/>
    <w:rsid w:val="00BF308B"/>
    <w:rsid w:val="00C05E51"/>
    <w:rsid w:val="00C07575"/>
    <w:rsid w:val="00C24F8E"/>
    <w:rsid w:val="00C348D7"/>
    <w:rsid w:val="00C34D8A"/>
    <w:rsid w:val="00C40D65"/>
    <w:rsid w:val="00C4111F"/>
    <w:rsid w:val="00C44560"/>
    <w:rsid w:val="00C45021"/>
    <w:rsid w:val="00C452F3"/>
    <w:rsid w:val="00C62EB5"/>
    <w:rsid w:val="00C8242F"/>
    <w:rsid w:val="00CB0964"/>
    <w:rsid w:val="00CB269E"/>
    <w:rsid w:val="00CB333A"/>
    <w:rsid w:val="00CB37E7"/>
    <w:rsid w:val="00CB4170"/>
    <w:rsid w:val="00CB733C"/>
    <w:rsid w:val="00CC4F48"/>
    <w:rsid w:val="00CD5537"/>
    <w:rsid w:val="00CD63D7"/>
    <w:rsid w:val="00CE5091"/>
    <w:rsid w:val="00CF2B32"/>
    <w:rsid w:val="00D057D4"/>
    <w:rsid w:val="00D061ED"/>
    <w:rsid w:val="00D070DE"/>
    <w:rsid w:val="00D07945"/>
    <w:rsid w:val="00D1438C"/>
    <w:rsid w:val="00D16699"/>
    <w:rsid w:val="00D23F2F"/>
    <w:rsid w:val="00D24B0B"/>
    <w:rsid w:val="00D26B58"/>
    <w:rsid w:val="00D27A0F"/>
    <w:rsid w:val="00D338FE"/>
    <w:rsid w:val="00D3649B"/>
    <w:rsid w:val="00D37F19"/>
    <w:rsid w:val="00D51FF7"/>
    <w:rsid w:val="00D54750"/>
    <w:rsid w:val="00D552BD"/>
    <w:rsid w:val="00D70225"/>
    <w:rsid w:val="00D745ED"/>
    <w:rsid w:val="00D87CC9"/>
    <w:rsid w:val="00D90B79"/>
    <w:rsid w:val="00D94415"/>
    <w:rsid w:val="00D95E35"/>
    <w:rsid w:val="00D97045"/>
    <w:rsid w:val="00D97626"/>
    <w:rsid w:val="00DA6AEB"/>
    <w:rsid w:val="00DB1E45"/>
    <w:rsid w:val="00DB5526"/>
    <w:rsid w:val="00DC162A"/>
    <w:rsid w:val="00DC2C97"/>
    <w:rsid w:val="00DD0D94"/>
    <w:rsid w:val="00DE1685"/>
    <w:rsid w:val="00DE1C7D"/>
    <w:rsid w:val="00DE7B67"/>
    <w:rsid w:val="00DF1BC3"/>
    <w:rsid w:val="00DF1E97"/>
    <w:rsid w:val="00DF6FB3"/>
    <w:rsid w:val="00E005E7"/>
    <w:rsid w:val="00E0663C"/>
    <w:rsid w:val="00E1313F"/>
    <w:rsid w:val="00E17E63"/>
    <w:rsid w:val="00E234CE"/>
    <w:rsid w:val="00E26FEC"/>
    <w:rsid w:val="00E340F2"/>
    <w:rsid w:val="00E365B5"/>
    <w:rsid w:val="00E3760F"/>
    <w:rsid w:val="00E4429E"/>
    <w:rsid w:val="00E46E44"/>
    <w:rsid w:val="00E47972"/>
    <w:rsid w:val="00E47FF8"/>
    <w:rsid w:val="00E55349"/>
    <w:rsid w:val="00E57FD4"/>
    <w:rsid w:val="00E65622"/>
    <w:rsid w:val="00E82330"/>
    <w:rsid w:val="00E90270"/>
    <w:rsid w:val="00E920D4"/>
    <w:rsid w:val="00E921EE"/>
    <w:rsid w:val="00E925A8"/>
    <w:rsid w:val="00E964DC"/>
    <w:rsid w:val="00EA1201"/>
    <w:rsid w:val="00EA2489"/>
    <w:rsid w:val="00EB28BB"/>
    <w:rsid w:val="00EC7258"/>
    <w:rsid w:val="00ED3A49"/>
    <w:rsid w:val="00ED3C8F"/>
    <w:rsid w:val="00ED70A5"/>
    <w:rsid w:val="00EE3EFD"/>
    <w:rsid w:val="00F210BA"/>
    <w:rsid w:val="00F213DC"/>
    <w:rsid w:val="00F236A8"/>
    <w:rsid w:val="00F25D3A"/>
    <w:rsid w:val="00F264E9"/>
    <w:rsid w:val="00F2781E"/>
    <w:rsid w:val="00F31639"/>
    <w:rsid w:val="00F3387D"/>
    <w:rsid w:val="00F4251E"/>
    <w:rsid w:val="00F46214"/>
    <w:rsid w:val="00F47D8B"/>
    <w:rsid w:val="00F50F0F"/>
    <w:rsid w:val="00F533AA"/>
    <w:rsid w:val="00F539FC"/>
    <w:rsid w:val="00F67A77"/>
    <w:rsid w:val="00F75A0E"/>
    <w:rsid w:val="00F87A02"/>
    <w:rsid w:val="00F930B2"/>
    <w:rsid w:val="00F95CE5"/>
    <w:rsid w:val="00F95F9E"/>
    <w:rsid w:val="00F961A6"/>
    <w:rsid w:val="00FA2080"/>
    <w:rsid w:val="00FB7AA1"/>
    <w:rsid w:val="00FC0D84"/>
    <w:rsid w:val="00FC1915"/>
    <w:rsid w:val="00FC539C"/>
    <w:rsid w:val="00FD144A"/>
    <w:rsid w:val="00FD4413"/>
    <w:rsid w:val="00FD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6F712E5"/>
  <w15:docId w15:val="{B0DF6299-3C6A-4A1D-BBDE-1BE47E81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5EC7"/>
    <w:rPr>
      <w:color w:val="0000FF"/>
      <w:u w:val="single"/>
    </w:rPr>
  </w:style>
  <w:style w:type="paragraph" w:styleId="a4">
    <w:name w:val="Title"/>
    <w:basedOn w:val="a"/>
    <w:link w:val="a5"/>
    <w:qFormat/>
    <w:rsid w:val="00DA6AEB"/>
    <w:pPr>
      <w:spacing w:after="0" w:line="240" w:lineRule="auto"/>
      <w:jc w:val="center"/>
    </w:pPr>
    <w:rPr>
      <w:rFonts w:eastAsia="Times New Roman"/>
      <w:b/>
      <w:bCs/>
      <w:szCs w:val="20"/>
      <w:lang w:eastAsia="ru-RU"/>
    </w:rPr>
  </w:style>
  <w:style w:type="character" w:customStyle="1" w:styleId="a5">
    <w:name w:val="Заголовок Знак"/>
    <w:basedOn w:val="a0"/>
    <w:link w:val="a4"/>
    <w:rsid w:val="00DA6AEB"/>
    <w:rPr>
      <w:rFonts w:eastAsia="Times New Roman"/>
      <w:b/>
      <w:bCs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DA6AEB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DA6AEB"/>
    <w:rPr>
      <w:rFonts w:eastAsia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4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43B2"/>
    <w:rPr>
      <w:rFonts w:ascii="Tahoma" w:hAnsi="Tahoma" w:cs="Tahoma"/>
      <w:sz w:val="16"/>
      <w:szCs w:val="16"/>
    </w:rPr>
  </w:style>
  <w:style w:type="paragraph" w:styleId="a8">
    <w:name w:val="Normal (Web)"/>
    <w:basedOn w:val="a"/>
    <w:unhideWhenUsed/>
    <w:rsid w:val="005E110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3451A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3451A0"/>
  </w:style>
  <w:style w:type="paragraph" w:customStyle="1" w:styleId="ConsPlusCell">
    <w:name w:val="ConsPlusCell"/>
    <w:rsid w:val="005E5C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Strong"/>
    <w:basedOn w:val="a0"/>
    <w:qFormat/>
    <w:rsid w:val="005E5C3C"/>
    <w:rPr>
      <w:b/>
      <w:bCs/>
    </w:rPr>
  </w:style>
  <w:style w:type="paragraph" w:styleId="ac">
    <w:name w:val="header"/>
    <w:basedOn w:val="a"/>
    <w:link w:val="ad"/>
    <w:uiPriority w:val="99"/>
    <w:unhideWhenUsed/>
    <w:rsid w:val="007C7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C730F"/>
  </w:style>
  <w:style w:type="paragraph" w:styleId="ae">
    <w:name w:val="footer"/>
    <w:basedOn w:val="a"/>
    <w:link w:val="af"/>
    <w:uiPriority w:val="99"/>
    <w:unhideWhenUsed/>
    <w:rsid w:val="007C7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C730F"/>
  </w:style>
  <w:style w:type="paragraph" w:customStyle="1" w:styleId="ConsNormal">
    <w:name w:val="ConsNormal"/>
    <w:rsid w:val="00D97045"/>
    <w:pPr>
      <w:autoSpaceDE w:val="0"/>
      <w:autoSpaceDN w:val="0"/>
      <w:adjustRightInd w:val="0"/>
      <w:spacing w:after="0" w:line="240" w:lineRule="auto"/>
      <w:ind w:firstLine="720"/>
    </w:pPr>
    <w:rPr>
      <w:rFonts w:eastAsia="Times New Roman"/>
      <w:sz w:val="22"/>
      <w:szCs w:val="22"/>
      <w:lang w:eastAsia="ru-RU"/>
    </w:rPr>
  </w:style>
  <w:style w:type="paragraph" w:styleId="af0">
    <w:name w:val="List Paragraph"/>
    <w:basedOn w:val="a"/>
    <w:uiPriority w:val="34"/>
    <w:qFormat/>
    <w:rsid w:val="00883906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0CF57-F7F3-41B5-8165-58B2FECF3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4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Олин Андрей Сергеевич</dc:creator>
  <cp:lastModifiedBy>Ившина Мария Андреевна</cp:lastModifiedBy>
  <cp:revision>14</cp:revision>
  <cp:lastPrinted>2022-11-14T03:58:00Z</cp:lastPrinted>
  <dcterms:created xsi:type="dcterms:W3CDTF">2021-10-29T11:52:00Z</dcterms:created>
  <dcterms:modified xsi:type="dcterms:W3CDTF">2023-05-18T15:26:00Z</dcterms:modified>
</cp:coreProperties>
</file>